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D312" w14:textId="77777777" w:rsidR="00474ECB" w:rsidRPr="000D34F8" w:rsidRDefault="00474ECB" w:rsidP="00474ECB">
      <w:pPr>
        <w:rPr>
          <w:b/>
        </w:rPr>
      </w:pPr>
      <w:r>
        <w:rPr>
          <w:b/>
        </w:rPr>
        <w:t>English Reading</w:t>
      </w:r>
      <w:r w:rsidRPr="000D34F8">
        <w:rPr>
          <w:b/>
        </w:rPr>
        <w:t xml:space="preserve"> –Yearly Curriculum Plan (Parent Guide) </w:t>
      </w:r>
      <w:r w:rsidRPr="000D34F8">
        <w:rPr>
          <w:b/>
          <w:noProof/>
        </w:rPr>
        <w:drawing>
          <wp:anchor distT="0" distB="0" distL="114300" distR="114300" simplePos="0" relativeHeight="251658240" behindDoc="0" locked="0" layoutInCell="1" allowOverlap="1" wp14:anchorId="5BD701FB" wp14:editId="6273DA51">
            <wp:simplePos x="0" y="0"/>
            <wp:positionH relativeFrom="margin">
              <wp:align>right</wp:align>
            </wp:positionH>
            <wp:positionV relativeFrom="margin">
              <wp:align>top</wp:align>
            </wp:positionV>
            <wp:extent cx="528320" cy="457200"/>
            <wp:effectExtent l="0" t="0" r="5080" b="0"/>
            <wp:wrapSquare wrapText="bothSides"/>
            <wp:docPr id="246659626" name="Picture 2"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072"/>
        <w:gridCol w:w="2522"/>
        <w:gridCol w:w="1951"/>
        <w:gridCol w:w="1888"/>
        <w:gridCol w:w="1871"/>
        <w:gridCol w:w="1823"/>
        <w:gridCol w:w="1821"/>
      </w:tblGrid>
      <w:tr w:rsidR="00474ECB" w:rsidRPr="000D34F8" w14:paraId="648E7F73" w14:textId="77777777" w:rsidTr="006A60C5">
        <w:tc>
          <w:tcPr>
            <w:tcW w:w="13948" w:type="dxa"/>
            <w:gridSpan w:val="7"/>
            <w:tcBorders>
              <w:top w:val="single" w:sz="4" w:space="0" w:color="4A11E9"/>
              <w:left w:val="single" w:sz="4" w:space="0" w:color="4A11E9"/>
              <w:bottom w:val="single" w:sz="4" w:space="0" w:color="auto"/>
              <w:right w:val="single" w:sz="4" w:space="0" w:color="4A11E9"/>
            </w:tcBorders>
            <w:shd w:val="clear" w:color="auto" w:fill="3F0FC7"/>
            <w:hideMark/>
          </w:tcPr>
          <w:p w14:paraId="7E7834CC" w14:textId="20047FF1" w:rsidR="00474ECB" w:rsidRPr="000D34F8" w:rsidRDefault="00474ECB" w:rsidP="006A60C5">
            <w:pPr>
              <w:spacing w:after="160" w:line="278" w:lineRule="auto"/>
              <w:rPr>
                <w:b/>
              </w:rPr>
            </w:pPr>
            <w:r w:rsidRPr="000D34F8">
              <w:rPr>
                <w:b/>
              </w:rPr>
              <w:t>YEAR</w:t>
            </w:r>
            <w:r w:rsidR="00AB408F">
              <w:rPr>
                <w:b/>
              </w:rPr>
              <w:t xml:space="preserve"> </w:t>
            </w:r>
            <w:r w:rsidR="00FC3AE6">
              <w:rPr>
                <w:b/>
              </w:rPr>
              <w:t>6</w:t>
            </w:r>
          </w:p>
        </w:tc>
      </w:tr>
      <w:tr w:rsidR="00474ECB" w:rsidRPr="000D34F8" w14:paraId="55DEF705" w14:textId="77777777" w:rsidTr="006D7877">
        <w:tc>
          <w:tcPr>
            <w:tcW w:w="2072" w:type="dxa"/>
            <w:tcBorders>
              <w:top w:val="single" w:sz="4" w:space="0" w:color="auto"/>
              <w:left w:val="single" w:sz="4" w:space="0" w:color="4A11E9"/>
              <w:bottom w:val="single" w:sz="4" w:space="0" w:color="auto"/>
              <w:right w:val="single" w:sz="4" w:space="0" w:color="auto"/>
            </w:tcBorders>
          </w:tcPr>
          <w:p w14:paraId="49BC5D08" w14:textId="77777777" w:rsidR="00474ECB" w:rsidRPr="000D34F8" w:rsidRDefault="00474ECB" w:rsidP="006A60C5">
            <w:pPr>
              <w:spacing w:after="160" w:line="278" w:lineRule="auto"/>
              <w:rPr>
                <w:b/>
              </w:rPr>
            </w:pPr>
          </w:p>
        </w:tc>
        <w:tc>
          <w:tcPr>
            <w:tcW w:w="4473" w:type="dxa"/>
            <w:gridSpan w:val="2"/>
            <w:tcBorders>
              <w:top w:val="single" w:sz="4" w:space="0" w:color="auto"/>
              <w:left w:val="single" w:sz="4" w:space="0" w:color="auto"/>
              <w:bottom w:val="single" w:sz="4" w:space="0" w:color="auto"/>
              <w:right w:val="single" w:sz="4" w:space="0" w:color="auto"/>
            </w:tcBorders>
            <w:hideMark/>
          </w:tcPr>
          <w:p w14:paraId="5A49D837" w14:textId="77777777" w:rsidR="00474ECB" w:rsidRPr="000D34F8" w:rsidRDefault="00474ECB" w:rsidP="006A60C5">
            <w:pPr>
              <w:spacing w:after="160" w:line="278" w:lineRule="auto"/>
              <w:rPr>
                <w:b/>
              </w:rPr>
            </w:pPr>
            <w:r w:rsidRPr="000D34F8">
              <w:rPr>
                <w:b/>
              </w:rPr>
              <w:t>AUTUMN</w:t>
            </w:r>
          </w:p>
        </w:tc>
        <w:tc>
          <w:tcPr>
            <w:tcW w:w="3759" w:type="dxa"/>
            <w:gridSpan w:val="2"/>
            <w:tcBorders>
              <w:top w:val="single" w:sz="4" w:space="0" w:color="auto"/>
              <w:left w:val="single" w:sz="4" w:space="0" w:color="auto"/>
              <w:bottom w:val="single" w:sz="4" w:space="0" w:color="auto"/>
              <w:right w:val="single" w:sz="4" w:space="0" w:color="auto"/>
            </w:tcBorders>
            <w:hideMark/>
          </w:tcPr>
          <w:p w14:paraId="5DF8ADCA" w14:textId="77777777" w:rsidR="00474ECB" w:rsidRPr="000D34F8" w:rsidRDefault="00474ECB" w:rsidP="006A60C5">
            <w:pPr>
              <w:spacing w:after="160" w:line="278" w:lineRule="auto"/>
              <w:rPr>
                <w:b/>
              </w:rPr>
            </w:pPr>
            <w:r w:rsidRPr="000D34F8">
              <w:rPr>
                <w:b/>
              </w:rPr>
              <w:t>SPRING</w:t>
            </w:r>
          </w:p>
        </w:tc>
        <w:tc>
          <w:tcPr>
            <w:tcW w:w="3644" w:type="dxa"/>
            <w:gridSpan w:val="2"/>
            <w:tcBorders>
              <w:top w:val="single" w:sz="4" w:space="0" w:color="auto"/>
              <w:left w:val="single" w:sz="4" w:space="0" w:color="auto"/>
              <w:bottom w:val="single" w:sz="4" w:space="0" w:color="auto"/>
              <w:right w:val="single" w:sz="4" w:space="0" w:color="4A11E9"/>
            </w:tcBorders>
            <w:hideMark/>
          </w:tcPr>
          <w:p w14:paraId="2830093B" w14:textId="77777777" w:rsidR="00474ECB" w:rsidRPr="000D34F8" w:rsidRDefault="00474ECB" w:rsidP="006A60C5">
            <w:pPr>
              <w:spacing w:after="160" w:line="278" w:lineRule="auto"/>
              <w:rPr>
                <w:b/>
              </w:rPr>
            </w:pPr>
            <w:r w:rsidRPr="000D34F8">
              <w:rPr>
                <w:b/>
              </w:rPr>
              <w:t>SUMMER</w:t>
            </w:r>
          </w:p>
        </w:tc>
      </w:tr>
      <w:tr w:rsidR="00474ECB" w:rsidRPr="000D34F8" w14:paraId="1B05B06E" w14:textId="77777777" w:rsidTr="006D7877">
        <w:tc>
          <w:tcPr>
            <w:tcW w:w="2072" w:type="dxa"/>
            <w:tcBorders>
              <w:top w:val="single" w:sz="4" w:space="0" w:color="auto"/>
              <w:left w:val="single" w:sz="4" w:space="0" w:color="4A11E9"/>
              <w:bottom w:val="single" w:sz="4" w:space="0" w:color="auto"/>
              <w:right w:val="single" w:sz="4" w:space="0" w:color="auto"/>
            </w:tcBorders>
          </w:tcPr>
          <w:p w14:paraId="65B76BCE" w14:textId="77777777" w:rsidR="00474ECB" w:rsidRPr="000D34F8" w:rsidRDefault="00474ECB" w:rsidP="006A60C5">
            <w:pPr>
              <w:spacing w:after="160" w:line="278" w:lineRule="auto"/>
              <w:rPr>
                <w:b/>
              </w:rPr>
            </w:pPr>
          </w:p>
        </w:tc>
        <w:tc>
          <w:tcPr>
            <w:tcW w:w="2522" w:type="dxa"/>
            <w:tcBorders>
              <w:top w:val="single" w:sz="4" w:space="0" w:color="auto"/>
              <w:left w:val="single" w:sz="4" w:space="0" w:color="auto"/>
              <w:bottom w:val="single" w:sz="4" w:space="0" w:color="auto"/>
              <w:right w:val="single" w:sz="4" w:space="0" w:color="auto"/>
            </w:tcBorders>
            <w:hideMark/>
          </w:tcPr>
          <w:p w14:paraId="48AFBABE" w14:textId="77777777" w:rsidR="00474ECB" w:rsidRPr="000D34F8" w:rsidRDefault="00474ECB" w:rsidP="006A60C5">
            <w:pPr>
              <w:spacing w:after="160" w:line="278" w:lineRule="auto"/>
              <w:rPr>
                <w:b/>
              </w:rPr>
            </w:pPr>
            <w:r w:rsidRPr="000D34F8">
              <w:rPr>
                <w:b/>
              </w:rPr>
              <w:t>HALF TERM 1</w:t>
            </w:r>
          </w:p>
        </w:tc>
        <w:tc>
          <w:tcPr>
            <w:tcW w:w="1951" w:type="dxa"/>
            <w:tcBorders>
              <w:top w:val="single" w:sz="4" w:space="0" w:color="auto"/>
              <w:left w:val="single" w:sz="4" w:space="0" w:color="auto"/>
              <w:bottom w:val="single" w:sz="4" w:space="0" w:color="auto"/>
              <w:right w:val="single" w:sz="4" w:space="0" w:color="auto"/>
            </w:tcBorders>
            <w:hideMark/>
          </w:tcPr>
          <w:p w14:paraId="189BDCFF" w14:textId="77777777" w:rsidR="00474ECB" w:rsidRPr="000D34F8" w:rsidRDefault="00474ECB" w:rsidP="006A60C5">
            <w:pPr>
              <w:spacing w:after="160" w:line="278" w:lineRule="auto"/>
              <w:rPr>
                <w:b/>
              </w:rPr>
            </w:pPr>
            <w:r w:rsidRPr="000D34F8">
              <w:rPr>
                <w:b/>
              </w:rPr>
              <w:t>HALF TERM 2</w:t>
            </w:r>
          </w:p>
        </w:tc>
        <w:tc>
          <w:tcPr>
            <w:tcW w:w="1888" w:type="dxa"/>
            <w:tcBorders>
              <w:top w:val="single" w:sz="4" w:space="0" w:color="auto"/>
              <w:left w:val="single" w:sz="4" w:space="0" w:color="auto"/>
              <w:bottom w:val="single" w:sz="4" w:space="0" w:color="auto"/>
              <w:right w:val="single" w:sz="4" w:space="0" w:color="auto"/>
            </w:tcBorders>
            <w:hideMark/>
          </w:tcPr>
          <w:p w14:paraId="2E79F18A" w14:textId="77777777" w:rsidR="00474ECB" w:rsidRPr="000D34F8" w:rsidRDefault="00474ECB" w:rsidP="006A60C5">
            <w:pPr>
              <w:spacing w:after="160" w:line="278" w:lineRule="auto"/>
              <w:rPr>
                <w:b/>
              </w:rPr>
            </w:pPr>
            <w:r w:rsidRPr="000D34F8">
              <w:rPr>
                <w:b/>
              </w:rPr>
              <w:t>HALF TERM 1</w:t>
            </w:r>
          </w:p>
        </w:tc>
        <w:tc>
          <w:tcPr>
            <w:tcW w:w="1871" w:type="dxa"/>
            <w:tcBorders>
              <w:top w:val="single" w:sz="4" w:space="0" w:color="auto"/>
              <w:left w:val="single" w:sz="4" w:space="0" w:color="auto"/>
              <w:bottom w:val="single" w:sz="4" w:space="0" w:color="auto"/>
              <w:right w:val="single" w:sz="4" w:space="0" w:color="auto"/>
            </w:tcBorders>
            <w:hideMark/>
          </w:tcPr>
          <w:p w14:paraId="1733F8E0" w14:textId="77777777" w:rsidR="00474ECB" w:rsidRPr="000D34F8" w:rsidRDefault="00474ECB" w:rsidP="006A60C5">
            <w:pPr>
              <w:spacing w:after="160" w:line="278" w:lineRule="auto"/>
              <w:rPr>
                <w:b/>
              </w:rPr>
            </w:pPr>
            <w:r w:rsidRPr="000D34F8">
              <w:rPr>
                <w:b/>
              </w:rPr>
              <w:t>HALF TERM 2</w:t>
            </w:r>
          </w:p>
        </w:tc>
        <w:tc>
          <w:tcPr>
            <w:tcW w:w="1823" w:type="dxa"/>
            <w:tcBorders>
              <w:top w:val="single" w:sz="4" w:space="0" w:color="auto"/>
              <w:left w:val="single" w:sz="4" w:space="0" w:color="auto"/>
              <w:bottom w:val="single" w:sz="4" w:space="0" w:color="auto"/>
              <w:right w:val="single" w:sz="4" w:space="0" w:color="auto"/>
            </w:tcBorders>
            <w:hideMark/>
          </w:tcPr>
          <w:p w14:paraId="3FDF76A0" w14:textId="77777777" w:rsidR="00474ECB" w:rsidRPr="000D34F8" w:rsidRDefault="00474ECB" w:rsidP="006A60C5">
            <w:pPr>
              <w:spacing w:after="160" w:line="278" w:lineRule="auto"/>
              <w:rPr>
                <w:b/>
              </w:rPr>
            </w:pPr>
            <w:r w:rsidRPr="000D34F8">
              <w:rPr>
                <w:b/>
              </w:rPr>
              <w:t>HALF TERM 1</w:t>
            </w:r>
          </w:p>
        </w:tc>
        <w:tc>
          <w:tcPr>
            <w:tcW w:w="1821" w:type="dxa"/>
            <w:tcBorders>
              <w:top w:val="single" w:sz="4" w:space="0" w:color="auto"/>
              <w:left w:val="single" w:sz="4" w:space="0" w:color="auto"/>
              <w:bottom w:val="single" w:sz="4" w:space="0" w:color="auto"/>
              <w:right w:val="single" w:sz="4" w:space="0" w:color="4A11E9"/>
            </w:tcBorders>
            <w:hideMark/>
          </w:tcPr>
          <w:p w14:paraId="7AD6BC60" w14:textId="77777777" w:rsidR="00474ECB" w:rsidRPr="000D34F8" w:rsidRDefault="00474ECB" w:rsidP="006A60C5">
            <w:pPr>
              <w:spacing w:after="160" w:line="278" w:lineRule="auto"/>
              <w:rPr>
                <w:b/>
              </w:rPr>
            </w:pPr>
            <w:r w:rsidRPr="000D34F8">
              <w:rPr>
                <w:b/>
              </w:rPr>
              <w:t>HALF TERM 2</w:t>
            </w:r>
          </w:p>
        </w:tc>
      </w:tr>
      <w:tr w:rsidR="006D7877" w:rsidRPr="000D34F8" w14:paraId="4C520059" w14:textId="77777777" w:rsidTr="006D7877">
        <w:trPr>
          <w:trHeight w:val="3254"/>
        </w:trPr>
        <w:tc>
          <w:tcPr>
            <w:tcW w:w="2072" w:type="dxa"/>
            <w:tcBorders>
              <w:top w:val="single" w:sz="4" w:space="0" w:color="auto"/>
              <w:left w:val="single" w:sz="4" w:space="0" w:color="4A11E9"/>
              <w:bottom w:val="single" w:sz="4" w:space="0" w:color="auto"/>
              <w:right w:val="single" w:sz="4" w:space="0" w:color="auto"/>
            </w:tcBorders>
            <w:hideMark/>
          </w:tcPr>
          <w:p w14:paraId="444E21AF" w14:textId="77777777" w:rsidR="006D7877" w:rsidRPr="000D34F8" w:rsidRDefault="006D7877" w:rsidP="006D7877">
            <w:pPr>
              <w:spacing w:after="160" w:line="278" w:lineRule="auto"/>
              <w:rPr>
                <w:b/>
              </w:rPr>
            </w:pPr>
            <w:r w:rsidRPr="000D34F8">
              <w:rPr>
                <w:b/>
              </w:rPr>
              <w:t>TOPIC/FOCUS</w:t>
            </w:r>
          </w:p>
        </w:tc>
        <w:tc>
          <w:tcPr>
            <w:tcW w:w="2522" w:type="dxa"/>
            <w:tcBorders>
              <w:top w:val="single" w:sz="4" w:space="0" w:color="auto"/>
              <w:left w:val="single" w:sz="4" w:space="0" w:color="auto"/>
              <w:bottom w:val="single" w:sz="4" w:space="0" w:color="auto"/>
              <w:right w:val="single" w:sz="4" w:space="0" w:color="auto"/>
            </w:tcBorders>
          </w:tcPr>
          <w:p w14:paraId="6DBDC72A" w14:textId="77777777" w:rsidR="00DF33E3" w:rsidRDefault="00DF33E3" w:rsidP="00926671">
            <w:pPr>
              <w:jc w:val="center"/>
              <w:rPr>
                <w:rFonts w:ascii="Aptos" w:hAnsi="Aptos"/>
              </w:rPr>
            </w:pPr>
            <w:r w:rsidRPr="00DF33E3">
              <w:rPr>
                <w:rFonts w:ascii="Aptos" w:hAnsi="Aptos"/>
              </w:rPr>
              <w:t>Blood Heart &amp; Circulatory System</w:t>
            </w:r>
          </w:p>
          <w:p w14:paraId="15ADE47A" w14:textId="77777777" w:rsidR="00DF33E3" w:rsidRPr="00DF33E3" w:rsidRDefault="00DF33E3" w:rsidP="00926671">
            <w:pPr>
              <w:jc w:val="center"/>
              <w:rPr>
                <w:rFonts w:ascii="Aptos" w:hAnsi="Aptos"/>
              </w:rPr>
            </w:pPr>
          </w:p>
          <w:p w14:paraId="529D9ED1" w14:textId="248E786A" w:rsidR="006D7877" w:rsidRPr="00792B64" w:rsidRDefault="00DF33E3" w:rsidP="00926671">
            <w:pPr>
              <w:jc w:val="center"/>
              <w:rPr>
                <w:noProof/>
                <w:lang w:eastAsia="en-GB"/>
              </w:rPr>
            </w:pPr>
            <w:r w:rsidRPr="00DF33E3">
              <w:rPr>
                <w:rFonts w:ascii="Aptos" w:hAnsi="Aptos"/>
              </w:rPr>
              <w:t>Week Junior – Giving the Gift of Life with Doctors’ Help</w:t>
            </w:r>
          </w:p>
        </w:tc>
        <w:tc>
          <w:tcPr>
            <w:tcW w:w="1951" w:type="dxa"/>
            <w:tcBorders>
              <w:top w:val="single" w:sz="4" w:space="0" w:color="auto"/>
              <w:left w:val="single" w:sz="4" w:space="0" w:color="auto"/>
              <w:bottom w:val="single" w:sz="4" w:space="0" w:color="auto"/>
              <w:right w:val="single" w:sz="4" w:space="0" w:color="auto"/>
            </w:tcBorders>
          </w:tcPr>
          <w:p w14:paraId="341E09CB" w14:textId="77777777" w:rsidR="003B32C6" w:rsidRDefault="003B32C6" w:rsidP="00926671">
            <w:pPr>
              <w:jc w:val="center"/>
              <w:rPr>
                <w:rFonts w:ascii="Aptos" w:hAnsi="Aptos"/>
              </w:rPr>
            </w:pPr>
            <w:r w:rsidRPr="003B32C6">
              <w:rPr>
                <w:rFonts w:ascii="Aptos" w:hAnsi="Aptos"/>
              </w:rPr>
              <w:t>Frozen Kingdom</w:t>
            </w:r>
          </w:p>
          <w:p w14:paraId="05001928" w14:textId="77777777" w:rsidR="003B32C6" w:rsidRPr="003B32C6" w:rsidRDefault="003B32C6" w:rsidP="00926671">
            <w:pPr>
              <w:jc w:val="center"/>
              <w:rPr>
                <w:rFonts w:ascii="Aptos" w:hAnsi="Aptos"/>
              </w:rPr>
            </w:pPr>
          </w:p>
          <w:p w14:paraId="6DB6E811" w14:textId="77777777" w:rsidR="006D7877" w:rsidRDefault="003B32C6" w:rsidP="00926671">
            <w:pPr>
              <w:jc w:val="center"/>
              <w:rPr>
                <w:rFonts w:ascii="Aptos" w:hAnsi="Aptos"/>
              </w:rPr>
            </w:pPr>
            <w:r w:rsidRPr="003B32C6">
              <w:rPr>
                <w:rFonts w:ascii="Aptos" w:hAnsi="Aptos"/>
              </w:rPr>
              <w:t>Titanic – Margi McAllister</w:t>
            </w:r>
          </w:p>
          <w:p w14:paraId="412AB9A5" w14:textId="77777777" w:rsidR="008F1374" w:rsidRDefault="008F1374" w:rsidP="00926671">
            <w:pPr>
              <w:jc w:val="center"/>
              <w:rPr>
                <w:rFonts w:ascii="Aptos" w:hAnsi="Aptos"/>
              </w:rPr>
            </w:pPr>
          </w:p>
          <w:p w14:paraId="26FAB622" w14:textId="1CF1C40C" w:rsidR="008F1374" w:rsidRPr="00AB1624" w:rsidRDefault="008F1374" w:rsidP="00926671">
            <w:pPr>
              <w:jc w:val="center"/>
              <w:rPr>
                <w:bCs/>
              </w:rPr>
            </w:pPr>
            <w:r w:rsidRPr="00E103DF">
              <w:rPr>
                <w:rFonts w:ascii="Aptos" w:hAnsi="Aptos"/>
              </w:rPr>
              <w:t>SLS books</w:t>
            </w:r>
          </w:p>
        </w:tc>
        <w:tc>
          <w:tcPr>
            <w:tcW w:w="1888" w:type="dxa"/>
            <w:tcBorders>
              <w:top w:val="single" w:sz="4" w:space="0" w:color="auto"/>
              <w:left w:val="single" w:sz="4" w:space="0" w:color="auto"/>
              <w:bottom w:val="single" w:sz="4" w:space="0" w:color="auto"/>
              <w:right w:val="single" w:sz="4" w:space="0" w:color="auto"/>
            </w:tcBorders>
          </w:tcPr>
          <w:p w14:paraId="49B00EA0" w14:textId="77777777" w:rsidR="00596568" w:rsidRDefault="00596568" w:rsidP="00926671">
            <w:pPr>
              <w:jc w:val="center"/>
              <w:rPr>
                <w:rFonts w:ascii="Aptos" w:hAnsi="Aptos"/>
              </w:rPr>
            </w:pPr>
            <w:r w:rsidRPr="00596568">
              <w:rPr>
                <w:rFonts w:ascii="Aptos" w:hAnsi="Aptos"/>
              </w:rPr>
              <w:t>A Child’s War &amp; Britain at War</w:t>
            </w:r>
          </w:p>
          <w:p w14:paraId="3912B095" w14:textId="77777777" w:rsidR="00596568" w:rsidRPr="00596568" w:rsidRDefault="00596568" w:rsidP="00926671">
            <w:pPr>
              <w:jc w:val="center"/>
              <w:rPr>
                <w:rFonts w:ascii="Aptos" w:hAnsi="Aptos"/>
              </w:rPr>
            </w:pPr>
          </w:p>
          <w:p w14:paraId="735BB86D" w14:textId="022DE579" w:rsidR="006D7877" w:rsidRPr="00AB1624" w:rsidRDefault="00596568" w:rsidP="00926671">
            <w:pPr>
              <w:jc w:val="center"/>
              <w:rPr>
                <w:bCs/>
              </w:rPr>
            </w:pPr>
            <w:r w:rsidRPr="00596568">
              <w:rPr>
                <w:rFonts w:ascii="Aptos" w:hAnsi="Aptos"/>
              </w:rPr>
              <w:t>The Boy in the Striped Pyjamas – John Boyne</w:t>
            </w:r>
          </w:p>
        </w:tc>
        <w:tc>
          <w:tcPr>
            <w:tcW w:w="1871" w:type="dxa"/>
            <w:tcBorders>
              <w:top w:val="single" w:sz="4" w:space="0" w:color="auto"/>
              <w:left w:val="single" w:sz="4" w:space="0" w:color="auto"/>
              <w:bottom w:val="single" w:sz="4" w:space="0" w:color="auto"/>
              <w:right w:val="single" w:sz="4" w:space="0" w:color="auto"/>
            </w:tcBorders>
          </w:tcPr>
          <w:p w14:paraId="147A1C56" w14:textId="77777777" w:rsidR="00281BF4" w:rsidRPr="00281BF4" w:rsidRDefault="00281BF4" w:rsidP="00926671">
            <w:pPr>
              <w:jc w:val="center"/>
              <w:rPr>
                <w:rFonts w:ascii="Aptos" w:hAnsi="Aptos"/>
              </w:rPr>
            </w:pPr>
            <w:r w:rsidRPr="00281BF4">
              <w:rPr>
                <w:rFonts w:ascii="Aptos" w:hAnsi="Aptos"/>
              </w:rPr>
              <w:t>Islamic Golden Age &amp; Islamic Art</w:t>
            </w:r>
          </w:p>
          <w:p w14:paraId="5759FF70" w14:textId="1B924256" w:rsidR="006D7877" w:rsidRDefault="00281BF4" w:rsidP="00926671">
            <w:pPr>
              <w:jc w:val="center"/>
              <w:rPr>
                <w:rFonts w:ascii="Aptos" w:hAnsi="Aptos"/>
              </w:rPr>
            </w:pPr>
            <w:r w:rsidRPr="00281BF4">
              <w:rPr>
                <w:rFonts w:ascii="Aptos" w:hAnsi="Aptos"/>
              </w:rPr>
              <w:t xml:space="preserve">Texts about Islamic artists including Kamāl </w:t>
            </w:r>
            <w:proofErr w:type="spellStart"/>
            <w:r w:rsidRPr="00281BF4">
              <w:rPr>
                <w:rFonts w:ascii="Aptos" w:hAnsi="Aptos"/>
              </w:rPr>
              <w:t>ud</w:t>
            </w:r>
            <w:proofErr w:type="spellEnd"/>
            <w:r w:rsidRPr="00281BF4">
              <w:rPr>
                <w:rFonts w:ascii="Aptos" w:hAnsi="Aptos"/>
              </w:rPr>
              <w:t xml:space="preserve">-Dīn </w:t>
            </w:r>
            <w:proofErr w:type="spellStart"/>
            <w:r w:rsidRPr="00281BF4">
              <w:rPr>
                <w:rFonts w:ascii="Aptos" w:hAnsi="Aptos"/>
              </w:rPr>
              <w:t>Behzād</w:t>
            </w:r>
            <w:proofErr w:type="spellEnd"/>
          </w:p>
          <w:p w14:paraId="7745B8E8" w14:textId="2B9DD7C6" w:rsidR="005A046B" w:rsidRPr="00AB1624" w:rsidRDefault="005A046B" w:rsidP="00926671">
            <w:pPr>
              <w:jc w:val="center"/>
              <w:rPr>
                <w:bCs/>
              </w:rPr>
            </w:pPr>
          </w:p>
        </w:tc>
        <w:tc>
          <w:tcPr>
            <w:tcW w:w="1823" w:type="dxa"/>
            <w:tcBorders>
              <w:top w:val="single" w:sz="4" w:space="0" w:color="auto"/>
              <w:left w:val="single" w:sz="4" w:space="0" w:color="auto"/>
              <w:bottom w:val="single" w:sz="4" w:space="0" w:color="auto"/>
              <w:right w:val="single" w:sz="4" w:space="0" w:color="auto"/>
            </w:tcBorders>
          </w:tcPr>
          <w:p w14:paraId="1D60A3D3" w14:textId="77777777" w:rsidR="005A046B" w:rsidRPr="005A046B" w:rsidRDefault="005A046B" w:rsidP="00926671">
            <w:pPr>
              <w:jc w:val="center"/>
              <w:rPr>
                <w:rFonts w:ascii="Aptos" w:hAnsi="Aptos"/>
              </w:rPr>
            </w:pPr>
            <w:r w:rsidRPr="005A046B">
              <w:rPr>
                <w:rFonts w:ascii="Aptos" w:hAnsi="Aptos"/>
              </w:rPr>
              <w:t>Islamic Golden Age &amp; Islamic Art</w:t>
            </w:r>
          </w:p>
          <w:p w14:paraId="79F21C5D" w14:textId="55079716" w:rsidR="006D7877" w:rsidRPr="00AB1624" w:rsidRDefault="005A046B" w:rsidP="00926671">
            <w:pPr>
              <w:jc w:val="center"/>
              <w:rPr>
                <w:bCs/>
              </w:rPr>
            </w:pPr>
            <w:r w:rsidRPr="005A046B">
              <w:rPr>
                <w:rFonts w:ascii="Aptos" w:hAnsi="Aptos"/>
              </w:rPr>
              <w:t>Texts about Islamic artists including Yahya ibn Mahmud al-</w:t>
            </w:r>
            <w:proofErr w:type="spellStart"/>
            <w:r w:rsidRPr="005A046B">
              <w:rPr>
                <w:rFonts w:ascii="Aptos" w:hAnsi="Aptos"/>
              </w:rPr>
              <w:t>Wasiti</w:t>
            </w:r>
            <w:proofErr w:type="spellEnd"/>
          </w:p>
        </w:tc>
        <w:tc>
          <w:tcPr>
            <w:tcW w:w="1821" w:type="dxa"/>
            <w:tcBorders>
              <w:top w:val="single" w:sz="4" w:space="0" w:color="auto"/>
              <w:left w:val="single" w:sz="4" w:space="0" w:color="auto"/>
              <w:bottom w:val="single" w:sz="4" w:space="0" w:color="auto"/>
              <w:right w:val="single" w:sz="4" w:space="0" w:color="4A11E9"/>
            </w:tcBorders>
          </w:tcPr>
          <w:p w14:paraId="312FB48A" w14:textId="77777777" w:rsidR="00926671" w:rsidRDefault="00926671" w:rsidP="00926671">
            <w:pPr>
              <w:jc w:val="center"/>
              <w:rPr>
                <w:rFonts w:ascii="Aptos" w:hAnsi="Aptos"/>
              </w:rPr>
            </w:pPr>
            <w:r w:rsidRPr="00926671">
              <w:rPr>
                <w:rFonts w:ascii="Aptos" w:hAnsi="Aptos"/>
              </w:rPr>
              <w:t>Trailblazers, Barrier Breakers</w:t>
            </w:r>
          </w:p>
          <w:p w14:paraId="01AFFA5F" w14:textId="77777777" w:rsidR="00926671" w:rsidRPr="00926671" w:rsidRDefault="00926671" w:rsidP="00926671">
            <w:pPr>
              <w:jc w:val="center"/>
              <w:rPr>
                <w:rFonts w:ascii="Aptos" w:hAnsi="Aptos"/>
              </w:rPr>
            </w:pPr>
          </w:p>
          <w:p w14:paraId="0A647E68" w14:textId="0E2DD92B" w:rsidR="006D7877" w:rsidRPr="00AB1624" w:rsidRDefault="00926671" w:rsidP="00926671">
            <w:pPr>
              <w:jc w:val="center"/>
              <w:rPr>
                <w:bCs/>
              </w:rPr>
            </w:pPr>
            <w:r w:rsidRPr="00926671">
              <w:rPr>
                <w:rFonts w:ascii="Aptos" w:hAnsi="Aptos"/>
              </w:rPr>
              <w:t>Henry’s Freedom Box – Ellen Levine &amp; Kadir Nelson</w:t>
            </w:r>
          </w:p>
        </w:tc>
      </w:tr>
      <w:tr w:rsidR="00474ECB" w:rsidRPr="000D34F8" w14:paraId="41CD4F25" w14:textId="77777777" w:rsidTr="006D7877">
        <w:trPr>
          <w:trHeight w:val="699"/>
        </w:trPr>
        <w:tc>
          <w:tcPr>
            <w:tcW w:w="2072" w:type="dxa"/>
            <w:tcBorders>
              <w:top w:val="single" w:sz="4" w:space="0" w:color="auto"/>
              <w:left w:val="single" w:sz="4" w:space="0" w:color="4A11E9"/>
              <w:bottom w:val="single" w:sz="4" w:space="0" w:color="auto"/>
              <w:right w:val="single" w:sz="4" w:space="0" w:color="auto"/>
            </w:tcBorders>
            <w:hideMark/>
          </w:tcPr>
          <w:p w14:paraId="00E42263" w14:textId="77777777" w:rsidR="00474ECB" w:rsidRPr="000D34F8" w:rsidRDefault="00474ECB" w:rsidP="006A60C5">
            <w:pPr>
              <w:spacing w:after="160" w:line="278" w:lineRule="auto"/>
              <w:rPr>
                <w:b/>
              </w:rPr>
            </w:pPr>
            <w:r w:rsidRPr="000D34F8">
              <w:rPr>
                <w:b/>
              </w:rPr>
              <w:t>KEY KNOWLEDGE &amp; SKILLS</w:t>
            </w:r>
          </w:p>
        </w:tc>
        <w:tc>
          <w:tcPr>
            <w:tcW w:w="11876" w:type="dxa"/>
            <w:gridSpan w:val="6"/>
            <w:tcBorders>
              <w:top w:val="single" w:sz="4" w:space="0" w:color="auto"/>
              <w:left w:val="single" w:sz="4" w:space="0" w:color="auto"/>
              <w:bottom w:val="single" w:sz="4" w:space="0" w:color="auto"/>
              <w:right w:val="single" w:sz="4" w:space="0" w:color="4A11E9"/>
            </w:tcBorders>
          </w:tcPr>
          <w:p w14:paraId="0C7A103B" w14:textId="69D0C361" w:rsidR="00474ECB" w:rsidRPr="001D568E" w:rsidRDefault="009B2591" w:rsidP="009563DD">
            <w:r w:rsidRPr="009B2591">
              <w:t>Throughout Year 6, pupils develop advanced reading skills through a range of fiction, non-fiction and historical texts linked to their topics. In Autumn 1, pupils read information texts about the circulatory system and organ donation, focusing on retrieving information and discussing viewpoints. In Autumn 2, reading texts about the Titanic supports pupils in identifying key facts and understanding how non-fiction texts are organised. In Spring 1, pupils read The Boy in the Striped Pyjamas, developing inference by exploring how characters respond to events during wartime. In Spring 2, pupils read biographies about artists from the Islamic Golden Age, learning how texts present historical achievements and chronological information. In Summer 1, pupils read Henry’s Freedom Box and related texts about the Underground Railroad, analysing themes of courage and freedom. In Summer 2, pupils read texts about Civil Rights leaders, strengthening their ability to summarise information, interpret viewpoints and discuss the impact of historical events.</w:t>
            </w:r>
          </w:p>
        </w:tc>
      </w:tr>
    </w:tbl>
    <w:p w14:paraId="32C194C3" w14:textId="77777777" w:rsidR="00474ECB" w:rsidRDefault="00474ECB"/>
    <w:sectPr w:rsidR="00474ECB" w:rsidSect="00474EC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CB"/>
    <w:rsid w:val="00022DDB"/>
    <w:rsid w:val="00100249"/>
    <w:rsid w:val="001D568E"/>
    <w:rsid w:val="00214E9E"/>
    <w:rsid w:val="00272250"/>
    <w:rsid w:val="00281BF4"/>
    <w:rsid w:val="003B32C6"/>
    <w:rsid w:val="00457209"/>
    <w:rsid w:val="00474ECB"/>
    <w:rsid w:val="00596568"/>
    <w:rsid w:val="005A046B"/>
    <w:rsid w:val="006D7877"/>
    <w:rsid w:val="006F536C"/>
    <w:rsid w:val="0075276B"/>
    <w:rsid w:val="00792B64"/>
    <w:rsid w:val="008F1374"/>
    <w:rsid w:val="00926671"/>
    <w:rsid w:val="009563DD"/>
    <w:rsid w:val="009B2591"/>
    <w:rsid w:val="009F0752"/>
    <w:rsid w:val="009F62EC"/>
    <w:rsid w:val="00A130A1"/>
    <w:rsid w:val="00A25609"/>
    <w:rsid w:val="00AB1624"/>
    <w:rsid w:val="00AB408F"/>
    <w:rsid w:val="00BD3B35"/>
    <w:rsid w:val="00C379E9"/>
    <w:rsid w:val="00C45F45"/>
    <w:rsid w:val="00C759C3"/>
    <w:rsid w:val="00D20077"/>
    <w:rsid w:val="00DA019A"/>
    <w:rsid w:val="00DC0762"/>
    <w:rsid w:val="00DE7A55"/>
    <w:rsid w:val="00DF33E3"/>
    <w:rsid w:val="00EC34F8"/>
    <w:rsid w:val="00FC3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1675"/>
  <w15:chartTrackingRefBased/>
  <w15:docId w15:val="{B4765F21-4F02-4B59-87D5-E76587BA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CB"/>
  </w:style>
  <w:style w:type="paragraph" w:styleId="Heading1">
    <w:name w:val="heading 1"/>
    <w:basedOn w:val="Normal"/>
    <w:next w:val="Normal"/>
    <w:link w:val="Heading1Char"/>
    <w:uiPriority w:val="9"/>
    <w:qFormat/>
    <w:rsid w:val="00474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ECB"/>
    <w:rPr>
      <w:rFonts w:eastAsiaTheme="majorEastAsia" w:cstheme="majorBidi"/>
      <w:color w:val="272727" w:themeColor="text1" w:themeTint="D8"/>
    </w:rPr>
  </w:style>
  <w:style w:type="paragraph" w:styleId="Title">
    <w:name w:val="Title"/>
    <w:basedOn w:val="Normal"/>
    <w:next w:val="Normal"/>
    <w:link w:val="TitleChar"/>
    <w:uiPriority w:val="10"/>
    <w:qFormat/>
    <w:rsid w:val="00474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ECB"/>
    <w:pPr>
      <w:spacing w:before="160"/>
      <w:jc w:val="center"/>
    </w:pPr>
    <w:rPr>
      <w:i/>
      <w:iCs/>
      <w:color w:val="404040" w:themeColor="text1" w:themeTint="BF"/>
    </w:rPr>
  </w:style>
  <w:style w:type="character" w:customStyle="1" w:styleId="QuoteChar">
    <w:name w:val="Quote Char"/>
    <w:basedOn w:val="DefaultParagraphFont"/>
    <w:link w:val="Quote"/>
    <w:uiPriority w:val="29"/>
    <w:rsid w:val="00474ECB"/>
    <w:rPr>
      <w:i/>
      <w:iCs/>
      <w:color w:val="404040" w:themeColor="text1" w:themeTint="BF"/>
    </w:rPr>
  </w:style>
  <w:style w:type="paragraph" w:styleId="ListParagraph">
    <w:name w:val="List Paragraph"/>
    <w:basedOn w:val="Normal"/>
    <w:uiPriority w:val="34"/>
    <w:qFormat/>
    <w:rsid w:val="00474ECB"/>
    <w:pPr>
      <w:ind w:left="720"/>
      <w:contextualSpacing/>
    </w:pPr>
  </w:style>
  <w:style w:type="character" w:styleId="IntenseEmphasis">
    <w:name w:val="Intense Emphasis"/>
    <w:basedOn w:val="DefaultParagraphFont"/>
    <w:uiPriority w:val="21"/>
    <w:qFormat/>
    <w:rsid w:val="00474ECB"/>
    <w:rPr>
      <w:i/>
      <w:iCs/>
      <w:color w:val="0F4761" w:themeColor="accent1" w:themeShade="BF"/>
    </w:rPr>
  </w:style>
  <w:style w:type="paragraph" w:styleId="IntenseQuote">
    <w:name w:val="Intense Quote"/>
    <w:basedOn w:val="Normal"/>
    <w:next w:val="Normal"/>
    <w:link w:val="IntenseQuoteChar"/>
    <w:uiPriority w:val="30"/>
    <w:qFormat/>
    <w:rsid w:val="00474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ECB"/>
    <w:rPr>
      <w:i/>
      <w:iCs/>
      <w:color w:val="0F4761" w:themeColor="accent1" w:themeShade="BF"/>
    </w:rPr>
  </w:style>
  <w:style w:type="character" w:styleId="IntenseReference">
    <w:name w:val="Intense Reference"/>
    <w:basedOn w:val="DefaultParagraphFont"/>
    <w:uiPriority w:val="32"/>
    <w:qFormat/>
    <w:rsid w:val="00474ECB"/>
    <w:rPr>
      <w:b/>
      <w:bCs/>
      <w:smallCaps/>
      <w:color w:val="0F4761" w:themeColor="accent1" w:themeShade="BF"/>
      <w:spacing w:val="5"/>
    </w:rPr>
  </w:style>
  <w:style w:type="table" w:styleId="TableGrid">
    <w:name w:val="Table Grid"/>
    <w:basedOn w:val="TableNormal"/>
    <w:uiPriority w:val="39"/>
    <w:rsid w:val="00474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286FE-01C2-4909-A35B-4A76696AD1A2}">
  <ds:schemaRefs>
    <ds:schemaRef ds:uri="http://schemas.microsoft.com/sharepoint/v3/contenttype/forms"/>
  </ds:schemaRefs>
</ds:datastoreItem>
</file>

<file path=customXml/itemProps2.xml><?xml version="1.0" encoding="utf-8"?>
<ds:datastoreItem xmlns:ds="http://schemas.openxmlformats.org/officeDocument/2006/customXml" ds:itemID="{E9960B14-04B3-41BE-8F2B-03525C67BD65}">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3.xml><?xml version="1.0" encoding="utf-8"?>
<ds:datastoreItem xmlns:ds="http://schemas.openxmlformats.org/officeDocument/2006/customXml" ds:itemID="{48D1DAF9-6655-43DF-A896-E838D2FA6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Saaqia Alyas</dc:creator>
  <cp:keywords/>
  <dc:description/>
  <cp:lastModifiedBy>Huma Ahmed</cp:lastModifiedBy>
  <cp:revision>35</cp:revision>
  <dcterms:created xsi:type="dcterms:W3CDTF">2026-03-09T12:51:00Z</dcterms:created>
  <dcterms:modified xsi:type="dcterms:W3CDTF">2026-03-12T14:35:00Z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