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D312" w14:textId="77777777" w:rsidR="00474ECB" w:rsidRPr="000D34F8" w:rsidRDefault="00474ECB" w:rsidP="00474ECB">
      <w:pPr>
        <w:rPr>
          <w:b/>
        </w:rPr>
      </w:pPr>
      <w:r>
        <w:rPr>
          <w:b/>
        </w:rPr>
        <w:t>English Reading</w:t>
      </w:r>
      <w:r w:rsidRPr="000D34F8">
        <w:rPr>
          <w:b/>
        </w:rPr>
        <w:t xml:space="preserve"> –Yearly Curriculum Plan (Parent Guide) </w:t>
      </w:r>
      <w:r w:rsidRPr="000D34F8">
        <w:rPr>
          <w:b/>
          <w:noProof/>
        </w:rPr>
        <w:drawing>
          <wp:anchor distT="0" distB="0" distL="114300" distR="114300" simplePos="0" relativeHeight="251658240" behindDoc="0" locked="0" layoutInCell="1" allowOverlap="1" wp14:anchorId="5BD701FB" wp14:editId="6273DA51">
            <wp:simplePos x="0" y="0"/>
            <wp:positionH relativeFrom="margin">
              <wp:align>right</wp:align>
            </wp:positionH>
            <wp:positionV relativeFrom="margin">
              <wp:align>top</wp:align>
            </wp:positionV>
            <wp:extent cx="528320" cy="457200"/>
            <wp:effectExtent l="0" t="0" r="5080" b="0"/>
            <wp:wrapSquare wrapText="bothSides"/>
            <wp:docPr id="246659626" name="Picture 2"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072"/>
        <w:gridCol w:w="2522"/>
        <w:gridCol w:w="1951"/>
        <w:gridCol w:w="1888"/>
        <w:gridCol w:w="1871"/>
        <w:gridCol w:w="1823"/>
        <w:gridCol w:w="1821"/>
      </w:tblGrid>
      <w:tr w:rsidR="00474ECB" w:rsidRPr="000D34F8" w14:paraId="648E7F73" w14:textId="77777777" w:rsidTr="006A60C5">
        <w:tc>
          <w:tcPr>
            <w:tcW w:w="13948" w:type="dxa"/>
            <w:gridSpan w:val="7"/>
            <w:tcBorders>
              <w:top w:val="single" w:sz="4" w:space="0" w:color="4A11E9"/>
              <w:left w:val="single" w:sz="4" w:space="0" w:color="4A11E9"/>
              <w:bottom w:val="single" w:sz="4" w:space="0" w:color="auto"/>
              <w:right w:val="single" w:sz="4" w:space="0" w:color="4A11E9"/>
            </w:tcBorders>
            <w:shd w:val="clear" w:color="auto" w:fill="3F0FC7"/>
            <w:hideMark/>
          </w:tcPr>
          <w:p w14:paraId="7E7834CC" w14:textId="2F195DF0" w:rsidR="00474ECB" w:rsidRPr="000D34F8" w:rsidRDefault="00474ECB" w:rsidP="006A60C5">
            <w:pPr>
              <w:spacing w:after="160" w:line="278" w:lineRule="auto"/>
              <w:rPr>
                <w:b/>
              </w:rPr>
            </w:pPr>
            <w:r w:rsidRPr="000D34F8">
              <w:rPr>
                <w:b/>
              </w:rPr>
              <w:t>YEAR</w:t>
            </w:r>
            <w:r w:rsidR="00AB408F">
              <w:rPr>
                <w:b/>
              </w:rPr>
              <w:t xml:space="preserve"> 4</w:t>
            </w:r>
          </w:p>
        </w:tc>
      </w:tr>
      <w:tr w:rsidR="00474ECB" w:rsidRPr="000D34F8" w14:paraId="55DEF705" w14:textId="77777777" w:rsidTr="006D7877">
        <w:tc>
          <w:tcPr>
            <w:tcW w:w="2072" w:type="dxa"/>
            <w:tcBorders>
              <w:top w:val="single" w:sz="4" w:space="0" w:color="auto"/>
              <w:left w:val="single" w:sz="4" w:space="0" w:color="4A11E9"/>
              <w:bottom w:val="single" w:sz="4" w:space="0" w:color="auto"/>
              <w:right w:val="single" w:sz="4" w:space="0" w:color="auto"/>
            </w:tcBorders>
          </w:tcPr>
          <w:p w14:paraId="49BC5D08" w14:textId="77777777" w:rsidR="00474ECB" w:rsidRPr="000D34F8" w:rsidRDefault="00474ECB" w:rsidP="006A60C5">
            <w:pPr>
              <w:spacing w:after="160" w:line="278" w:lineRule="auto"/>
              <w:rPr>
                <w:b/>
              </w:rPr>
            </w:pPr>
          </w:p>
        </w:tc>
        <w:tc>
          <w:tcPr>
            <w:tcW w:w="4473" w:type="dxa"/>
            <w:gridSpan w:val="2"/>
            <w:tcBorders>
              <w:top w:val="single" w:sz="4" w:space="0" w:color="auto"/>
              <w:left w:val="single" w:sz="4" w:space="0" w:color="auto"/>
              <w:bottom w:val="single" w:sz="4" w:space="0" w:color="auto"/>
              <w:right w:val="single" w:sz="4" w:space="0" w:color="auto"/>
            </w:tcBorders>
            <w:hideMark/>
          </w:tcPr>
          <w:p w14:paraId="5A49D837" w14:textId="77777777" w:rsidR="00474ECB" w:rsidRPr="000D34F8" w:rsidRDefault="00474ECB" w:rsidP="006A60C5">
            <w:pPr>
              <w:spacing w:after="160" w:line="278" w:lineRule="auto"/>
              <w:rPr>
                <w:b/>
              </w:rPr>
            </w:pPr>
            <w:r w:rsidRPr="000D34F8">
              <w:rPr>
                <w:b/>
              </w:rPr>
              <w:t>AUTUMN</w:t>
            </w:r>
          </w:p>
        </w:tc>
        <w:tc>
          <w:tcPr>
            <w:tcW w:w="3759" w:type="dxa"/>
            <w:gridSpan w:val="2"/>
            <w:tcBorders>
              <w:top w:val="single" w:sz="4" w:space="0" w:color="auto"/>
              <w:left w:val="single" w:sz="4" w:space="0" w:color="auto"/>
              <w:bottom w:val="single" w:sz="4" w:space="0" w:color="auto"/>
              <w:right w:val="single" w:sz="4" w:space="0" w:color="auto"/>
            </w:tcBorders>
            <w:hideMark/>
          </w:tcPr>
          <w:p w14:paraId="5DF8ADCA" w14:textId="77777777" w:rsidR="00474ECB" w:rsidRPr="000D34F8" w:rsidRDefault="00474ECB" w:rsidP="006A60C5">
            <w:pPr>
              <w:spacing w:after="160" w:line="278" w:lineRule="auto"/>
              <w:rPr>
                <w:b/>
              </w:rPr>
            </w:pPr>
            <w:r w:rsidRPr="000D34F8">
              <w:rPr>
                <w:b/>
              </w:rPr>
              <w:t>SPRING</w:t>
            </w:r>
          </w:p>
        </w:tc>
        <w:tc>
          <w:tcPr>
            <w:tcW w:w="3644" w:type="dxa"/>
            <w:gridSpan w:val="2"/>
            <w:tcBorders>
              <w:top w:val="single" w:sz="4" w:space="0" w:color="auto"/>
              <w:left w:val="single" w:sz="4" w:space="0" w:color="auto"/>
              <w:bottom w:val="single" w:sz="4" w:space="0" w:color="auto"/>
              <w:right w:val="single" w:sz="4" w:space="0" w:color="4A11E9"/>
            </w:tcBorders>
            <w:hideMark/>
          </w:tcPr>
          <w:p w14:paraId="2830093B" w14:textId="77777777" w:rsidR="00474ECB" w:rsidRPr="000D34F8" w:rsidRDefault="00474ECB" w:rsidP="006A60C5">
            <w:pPr>
              <w:spacing w:after="160" w:line="278" w:lineRule="auto"/>
              <w:rPr>
                <w:b/>
              </w:rPr>
            </w:pPr>
            <w:r w:rsidRPr="000D34F8">
              <w:rPr>
                <w:b/>
              </w:rPr>
              <w:t>SUMMER</w:t>
            </w:r>
          </w:p>
        </w:tc>
      </w:tr>
      <w:tr w:rsidR="00474ECB" w:rsidRPr="000D34F8" w14:paraId="1B05B06E" w14:textId="77777777" w:rsidTr="006D7877">
        <w:tc>
          <w:tcPr>
            <w:tcW w:w="2072" w:type="dxa"/>
            <w:tcBorders>
              <w:top w:val="single" w:sz="4" w:space="0" w:color="auto"/>
              <w:left w:val="single" w:sz="4" w:space="0" w:color="4A11E9"/>
              <w:bottom w:val="single" w:sz="4" w:space="0" w:color="auto"/>
              <w:right w:val="single" w:sz="4" w:space="0" w:color="auto"/>
            </w:tcBorders>
          </w:tcPr>
          <w:p w14:paraId="65B76BCE" w14:textId="77777777" w:rsidR="00474ECB" w:rsidRPr="000D34F8" w:rsidRDefault="00474ECB" w:rsidP="006A60C5">
            <w:pPr>
              <w:spacing w:after="160" w:line="278" w:lineRule="auto"/>
              <w:rPr>
                <w:b/>
              </w:rPr>
            </w:pPr>
          </w:p>
        </w:tc>
        <w:tc>
          <w:tcPr>
            <w:tcW w:w="2522" w:type="dxa"/>
            <w:tcBorders>
              <w:top w:val="single" w:sz="4" w:space="0" w:color="auto"/>
              <w:left w:val="single" w:sz="4" w:space="0" w:color="auto"/>
              <w:bottom w:val="single" w:sz="4" w:space="0" w:color="auto"/>
              <w:right w:val="single" w:sz="4" w:space="0" w:color="auto"/>
            </w:tcBorders>
            <w:hideMark/>
          </w:tcPr>
          <w:p w14:paraId="48AFBABE" w14:textId="77777777" w:rsidR="00474ECB" w:rsidRPr="000D34F8" w:rsidRDefault="00474ECB" w:rsidP="006A60C5">
            <w:pPr>
              <w:spacing w:after="160" w:line="278" w:lineRule="auto"/>
              <w:rPr>
                <w:b/>
              </w:rPr>
            </w:pPr>
            <w:r w:rsidRPr="000D34F8">
              <w:rPr>
                <w:b/>
              </w:rPr>
              <w:t>HALF TERM 1</w:t>
            </w:r>
          </w:p>
        </w:tc>
        <w:tc>
          <w:tcPr>
            <w:tcW w:w="1951" w:type="dxa"/>
            <w:tcBorders>
              <w:top w:val="single" w:sz="4" w:space="0" w:color="auto"/>
              <w:left w:val="single" w:sz="4" w:space="0" w:color="auto"/>
              <w:bottom w:val="single" w:sz="4" w:space="0" w:color="auto"/>
              <w:right w:val="single" w:sz="4" w:space="0" w:color="auto"/>
            </w:tcBorders>
            <w:hideMark/>
          </w:tcPr>
          <w:p w14:paraId="189BDCFF" w14:textId="77777777" w:rsidR="00474ECB" w:rsidRPr="000D34F8" w:rsidRDefault="00474ECB" w:rsidP="006A60C5">
            <w:pPr>
              <w:spacing w:after="160" w:line="278" w:lineRule="auto"/>
              <w:rPr>
                <w:b/>
              </w:rPr>
            </w:pPr>
            <w:r w:rsidRPr="000D34F8">
              <w:rPr>
                <w:b/>
              </w:rPr>
              <w:t>HALF TERM 2</w:t>
            </w:r>
          </w:p>
        </w:tc>
        <w:tc>
          <w:tcPr>
            <w:tcW w:w="1888" w:type="dxa"/>
            <w:tcBorders>
              <w:top w:val="single" w:sz="4" w:space="0" w:color="auto"/>
              <w:left w:val="single" w:sz="4" w:space="0" w:color="auto"/>
              <w:bottom w:val="single" w:sz="4" w:space="0" w:color="auto"/>
              <w:right w:val="single" w:sz="4" w:space="0" w:color="auto"/>
            </w:tcBorders>
            <w:hideMark/>
          </w:tcPr>
          <w:p w14:paraId="2E79F18A" w14:textId="77777777" w:rsidR="00474ECB" w:rsidRPr="000D34F8" w:rsidRDefault="00474ECB" w:rsidP="006A60C5">
            <w:pPr>
              <w:spacing w:after="160" w:line="278" w:lineRule="auto"/>
              <w:rPr>
                <w:b/>
              </w:rPr>
            </w:pPr>
            <w:r w:rsidRPr="000D34F8">
              <w:rPr>
                <w:b/>
              </w:rPr>
              <w:t>HALF TERM 1</w:t>
            </w:r>
          </w:p>
        </w:tc>
        <w:tc>
          <w:tcPr>
            <w:tcW w:w="1871" w:type="dxa"/>
            <w:tcBorders>
              <w:top w:val="single" w:sz="4" w:space="0" w:color="auto"/>
              <w:left w:val="single" w:sz="4" w:space="0" w:color="auto"/>
              <w:bottom w:val="single" w:sz="4" w:space="0" w:color="auto"/>
              <w:right w:val="single" w:sz="4" w:space="0" w:color="auto"/>
            </w:tcBorders>
            <w:hideMark/>
          </w:tcPr>
          <w:p w14:paraId="1733F8E0" w14:textId="77777777" w:rsidR="00474ECB" w:rsidRPr="000D34F8" w:rsidRDefault="00474ECB" w:rsidP="006A60C5">
            <w:pPr>
              <w:spacing w:after="160" w:line="278" w:lineRule="auto"/>
              <w:rPr>
                <w:b/>
              </w:rPr>
            </w:pPr>
            <w:r w:rsidRPr="000D34F8">
              <w:rPr>
                <w:b/>
              </w:rPr>
              <w:t>HALF TERM 2</w:t>
            </w:r>
          </w:p>
        </w:tc>
        <w:tc>
          <w:tcPr>
            <w:tcW w:w="1823" w:type="dxa"/>
            <w:tcBorders>
              <w:top w:val="single" w:sz="4" w:space="0" w:color="auto"/>
              <w:left w:val="single" w:sz="4" w:space="0" w:color="auto"/>
              <w:bottom w:val="single" w:sz="4" w:space="0" w:color="auto"/>
              <w:right w:val="single" w:sz="4" w:space="0" w:color="auto"/>
            </w:tcBorders>
            <w:hideMark/>
          </w:tcPr>
          <w:p w14:paraId="3FDF76A0" w14:textId="77777777" w:rsidR="00474ECB" w:rsidRPr="000D34F8" w:rsidRDefault="00474ECB" w:rsidP="006A60C5">
            <w:pPr>
              <w:spacing w:after="160" w:line="278" w:lineRule="auto"/>
              <w:rPr>
                <w:b/>
              </w:rPr>
            </w:pPr>
            <w:r w:rsidRPr="000D34F8">
              <w:rPr>
                <w:b/>
              </w:rPr>
              <w:t>HALF TERM 1</w:t>
            </w:r>
          </w:p>
        </w:tc>
        <w:tc>
          <w:tcPr>
            <w:tcW w:w="1821" w:type="dxa"/>
            <w:tcBorders>
              <w:top w:val="single" w:sz="4" w:space="0" w:color="auto"/>
              <w:left w:val="single" w:sz="4" w:space="0" w:color="auto"/>
              <w:bottom w:val="single" w:sz="4" w:space="0" w:color="auto"/>
              <w:right w:val="single" w:sz="4" w:space="0" w:color="4A11E9"/>
            </w:tcBorders>
            <w:hideMark/>
          </w:tcPr>
          <w:p w14:paraId="7AD6BC60" w14:textId="77777777" w:rsidR="00474ECB" w:rsidRPr="000D34F8" w:rsidRDefault="00474ECB" w:rsidP="006A60C5">
            <w:pPr>
              <w:spacing w:after="160" w:line="278" w:lineRule="auto"/>
              <w:rPr>
                <w:b/>
              </w:rPr>
            </w:pPr>
            <w:r w:rsidRPr="000D34F8">
              <w:rPr>
                <w:b/>
              </w:rPr>
              <w:t>HALF TERM 2</w:t>
            </w:r>
          </w:p>
        </w:tc>
      </w:tr>
      <w:tr w:rsidR="006D7877" w:rsidRPr="000D34F8" w14:paraId="4C520059" w14:textId="77777777" w:rsidTr="006D7877">
        <w:trPr>
          <w:trHeight w:val="3254"/>
        </w:trPr>
        <w:tc>
          <w:tcPr>
            <w:tcW w:w="2072" w:type="dxa"/>
            <w:tcBorders>
              <w:top w:val="single" w:sz="4" w:space="0" w:color="auto"/>
              <w:left w:val="single" w:sz="4" w:space="0" w:color="4A11E9"/>
              <w:bottom w:val="single" w:sz="4" w:space="0" w:color="auto"/>
              <w:right w:val="single" w:sz="4" w:space="0" w:color="auto"/>
            </w:tcBorders>
            <w:hideMark/>
          </w:tcPr>
          <w:p w14:paraId="444E21AF" w14:textId="77777777" w:rsidR="006D7877" w:rsidRPr="000D34F8" w:rsidRDefault="006D7877" w:rsidP="006D7877">
            <w:pPr>
              <w:spacing w:after="160" w:line="278" w:lineRule="auto"/>
              <w:rPr>
                <w:b/>
              </w:rPr>
            </w:pPr>
            <w:r w:rsidRPr="000D34F8">
              <w:rPr>
                <w:b/>
              </w:rPr>
              <w:t>TOPIC/FOCUS</w:t>
            </w:r>
          </w:p>
        </w:tc>
        <w:tc>
          <w:tcPr>
            <w:tcW w:w="2522" w:type="dxa"/>
            <w:tcBorders>
              <w:top w:val="single" w:sz="4" w:space="0" w:color="auto"/>
              <w:left w:val="single" w:sz="4" w:space="0" w:color="auto"/>
              <w:bottom w:val="single" w:sz="4" w:space="0" w:color="auto"/>
              <w:right w:val="single" w:sz="4" w:space="0" w:color="auto"/>
            </w:tcBorders>
          </w:tcPr>
          <w:p w14:paraId="529D9ED1" w14:textId="134E3199" w:rsidR="006D7877" w:rsidRPr="00792B64" w:rsidRDefault="006D7877" w:rsidP="006C0059">
            <w:pPr>
              <w:jc w:val="center"/>
              <w:rPr>
                <w:noProof/>
                <w:lang w:eastAsia="en-GB"/>
              </w:rPr>
            </w:pPr>
            <w:r w:rsidRPr="00AE0F64">
              <w:rPr>
                <w:rFonts w:ascii="Aptos" w:hAnsi="Aptos"/>
              </w:rPr>
              <w:t>Misty Mountains and Winding Rivers</w:t>
            </w:r>
            <w:r w:rsidRPr="00AE0F64">
              <w:rPr>
                <w:rFonts w:ascii="Aptos" w:hAnsi="Aptos"/>
              </w:rPr>
              <w:br/>
            </w:r>
            <w:r w:rsidRPr="00AE0F64">
              <w:rPr>
                <w:rFonts w:ascii="Aptos" w:hAnsi="Aptos"/>
              </w:rPr>
              <w:br/>
              <w:t>Biographies of explorers</w:t>
            </w:r>
            <w:r w:rsidRPr="00AE0F64">
              <w:rPr>
                <w:rFonts w:ascii="Aptos" w:hAnsi="Aptos"/>
              </w:rPr>
              <w:br/>
              <w:t>(Edmund Hillary and other mountaineers)</w:t>
            </w:r>
          </w:p>
        </w:tc>
        <w:tc>
          <w:tcPr>
            <w:tcW w:w="1951" w:type="dxa"/>
            <w:tcBorders>
              <w:top w:val="single" w:sz="4" w:space="0" w:color="auto"/>
              <w:left w:val="single" w:sz="4" w:space="0" w:color="auto"/>
              <w:bottom w:val="single" w:sz="4" w:space="0" w:color="auto"/>
              <w:right w:val="single" w:sz="4" w:space="0" w:color="auto"/>
            </w:tcBorders>
          </w:tcPr>
          <w:p w14:paraId="26FAB622" w14:textId="39D1715B" w:rsidR="006D7877" w:rsidRPr="00AB1624" w:rsidRDefault="006D7877" w:rsidP="006C0059">
            <w:pPr>
              <w:jc w:val="center"/>
              <w:rPr>
                <w:bCs/>
              </w:rPr>
            </w:pPr>
            <w:r w:rsidRPr="00AE0F64">
              <w:rPr>
                <w:rFonts w:ascii="Aptos" w:hAnsi="Aptos"/>
              </w:rPr>
              <w:t>Functional and Fancy Fabrics</w:t>
            </w:r>
            <w:r w:rsidRPr="00AE0F64">
              <w:rPr>
                <w:rFonts w:ascii="Aptos" w:hAnsi="Aptos"/>
              </w:rPr>
              <w:br/>
            </w:r>
            <w:r w:rsidRPr="00AE0F64">
              <w:rPr>
                <w:rFonts w:ascii="Aptos" w:hAnsi="Aptos"/>
              </w:rPr>
              <w:br/>
              <w:t>The Patchwork Quilt</w:t>
            </w:r>
            <w:r w:rsidRPr="00AE0F64">
              <w:rPr>
                <w:rFonts w:ascii="Aptos" w:hAnsi="Aptos"/>
              </w:rPr>
              <w:br/>
              <w:t>Valerie Flournoy</w:t>
            </w:r>
          </w:p>
        </w:tc>
        <w:tc>
          <w:tcPr>
            <w:tcW w:w="1888" w:type="dxa"/>
            <w:tcBorders>
              <w:top w:val="single" w:sz="4" w:space="0" w:color="auto"/>
              <w:left w:val="single" w:sz="4" w:space="0" w:color="auto"/>
              <w:bottom w:val="single" w:sz="4" w:space="0" w:color="auto"/>
              <w:right w:val="single" w:sz="4" w:space="0" w:color="auto"/>
            </w:tcBorders>
          </w:tcPr>
          <w:p w14:paraId="735BB86D" w14:textId="32F6816F" w:rsidR="006D7877" w:rsidRPr="00AB1624" w:rsidRDefault="006D7877" w:rsidP="006C0059">
            <w:pPr>
              <w:jc w:val="center"/>
              <w:rPr>
                <w:bCs/>
              </w:rPr>
            </w:pPr>
            <w:r w:rsidRPr="00AE0F64">
              <w:rPr>
                <w:rFonts w:ascii="Aptos" w:hAnsi="Aptos"/>
              </w:rPr>
              <w:t>Potions &amp; Islamic Physicians</w:t>
            </w:r>
            <w:r w:rsidRPr="00AE0F64">
              <w:rPr>
                <w:rFonts w:ascii="Aptos" w:hAnsi="Aptos"/>
              </w:rPr>
              <w:br/>
            </w:r>
            <w:r w:rsidRPr="00AE0F64">
              <w:rPr>
                <w:rFonts w:ascii="Aptos" w:hAnsi="Aptos"/>
              </w:rPr>
              <w:br/>
              <w:t>Biographies of Muslim Doctors</w:t>
            </w:r>
            <w:r w:rsidRPr="00AE0F64">
              <w:rPr>
                <w:rFonts w:ascii="Aptos" w:hAnsi="Aptos"/>
              </w:rPr>
              <w:br/>
              <w:t>(Ibn al</w:t>
            </w:r>
            <w:r w:rsidRPr="00AE0F64">
              <w:rPr>
                <w:rFonts w:ascii="Cambria Math" w:hAnsi="Cambria Math" w:cs="Cambria Math"/>
              </w:rPr>
              <w:t>‑</w:t>
            </w:r>
            <w:r w:rsidRPr="00AE0F64">
              <w:rPr>
                <w:rFonts w:ascii="Aptos" w:hAnsi="Aptos"/>
              </w:rPr>
              <w:t>Nafis / Ibn Sina)</w:t>
            </w:r>
          </w:p>
        </w:tc>
        <w:tc>
          <w:tcPr>
            <w:tcW w:w="1871" w:type="dxa"/>
            <w:tcBorders>
              <w:top w:val="single" w:sz="4" w:space="0" w:color="auto"/>
              <w:left w:val="single" w:sz="4" w:space="0" w:color="auto"/>
              <w:bottom w:val="single" w:sz="4" w:space="0" w:color="auto"/>
              <w:right w:val="single" w:sz="4" w:space="0" w:color="auto"/>
            </w:tcBorders>
          </w:tcPr>
          <w:p w14:paraId="7745B8E8" w14:textId="147D2CCB" w:rsidR="006D7877" w:rsidRPr="00AB1624" w:rsidRDefault="006D7877" w:rsidP="006C0059">
            <w:pPr>
              <w:jc w:val="center"/>
              <w:rPr>
                <w:bCs/>
              </w:rPr>
            </w:pPr>
            <w:r w:rsidRPr="00AE0F64">
              <w:rPr>
                <w:rFonts w:ascii="Aptos" w:hAnsi="Aptos"/>
              </w:rPr>
              <w:t>I Am Warrior!</w:t>
            </w:r>
            <w:r w:rsidRPr="00AE0F64">
              <w:rPr>
                <w:rFonts w:ascii="Aptos" w:hAnsi="Aptos"/>
              </w:rPr>
              <w:br/>
            </w:r>
            <w:r w:rsidRPr="00AE0F64">
              <w:rPr>
                <w:rFonts w:ascii="Aptos" w:hAnsi="Aptos"/>
              </w:rPr>
              <w:br/>
              <w:t>Roman history texts</w:t>
            </w:r>
            <w:r w:rsidRPr="00AE0F64">
              <w:rPr>
                <w:rFonts w:ascii="Aptos" w:hAnsi="Aptos"/>
              </w:rPr>
              <w:br/>
              <w:t>SLS books</w:t>
            </w:r>
          </w:p>
        </w:tc>
        <w:tc>
          <w:tcPr>
            <w:tcW w:w="1823" w:type="dxa"/>
            <w:tcBorders>
              <w:top w:val="single" w:sz="4" w:space="0" w:color="auto"/>
              <w:left w:val="single" w:sz="4" w:space="0" w:color="auto"/>
              <w:bottom w:val="single" w:sz="4" w:space="0" w:color="auto"/>
              <w:right w:val="single" w:sz="4" w:space="0" w:color="auto"/>
            </w:tcBorders>
          </w:tcPr>
          <w:p w14:paraId="79F21C5D" w14:textId="341A4B82" w:rsidR="006D7877" w:rsidRPr="00AB1624" w:rsidRDefault="006D7877" w:rsidP="006C0059">
            <w:pPr>
              <w:jc w:val="center"/>
              <w:rPr>
                <w:bCs/>
              </w:rPr>
            </w:pPr>
            <w:r w:rsidRPr="00AE0F64">
              <w:rPr>
                <w:rFonts w:ascii="Aptos" w:hAnsi="Aptos"/>
              </w:rPr>
              <w:t>I Am Warrior!</w:t>
            </w:r>
            <w:r w:rsidRPr="00AE0F64">
              <w:rPr>
                <w:rFonts w:ascii="Aptos" w:hAnsi="Aptos"/>
              </w:rPr>
              <w:br/>
            </w:r>
            <w:r w:rsidRPr="00AE0F64">
              <w:rPr>
                <w:rFonts w:ascii="Aptos" w:hAnsi="Aptos"/>
              </w:rPr>
              <w:br/>
              <w:t>Roman history texts</w:t>
            </w:r>
            <w:r w:rsidRPr="00AE0F64">
              <w:rPr>
                <w:rFonts w:ascii="Aptos" w:hAnsi="Aptos"/>
              </w:rPr>
              <w:br/>
              <w:t>SLS books</w:t>
            </w:r>
          </w:p>
        </w:tc>
        <w:tc>
          <w:tcPr>
            <w:tcW w:w="1821" w:type="dxa"/>
            <w:tcBorders>
              <w:top w:val="single" w:sz="4" w:space="0" w:color="auto"/>
              <w:left w:val="single" w:sz="4" w:space="0" w:color="auto"/>
              <w:bottom w:val="single" w:sz="4" w:space="0" w:color="auto"/>
              <w:right w:val="single" w:sz="4" w:space="0" w:color="4A11E9"/>
            </w:tcBorders>
          </w:tcPr>
          <w:p w14:paraId="0A647E68" w14:textId="3FD75CC6" w:rsidR="006D7877" w:rsidRPr="00AB1624" w:rsidRDefault="006D7877" w:rsidP="006C0059">
            <w:pPr>
              <w:jc w:val="center"/>
              <w:rPr>
                <w:bCs/>
              </w:rPr>
            </w:pPr>
            <w:r w:rsidRPr="00AE0F64">
              <w:rPr>
                <w:rFonts w:ascii="Aptos" w:hAnsi="Aptos"/>
              </w:rPr>
              <w:t>Misty Mountain Sierra</w:t>
            </w:r>
            <w:r w:rsidRPr="00AE0F64">
              <w:rPr>
                <w:rFonts w:ascii="Aptos" w:hAnsi="Aptos"/>
              </w:rPr>
              <w:br/>
            </w:r>
            <w:r w:rsidRPr="00AE0F64">
              <w:rPr>
                <w:rFonts w:ascii="Aptos" w:hAnsi="Aptos"/>
              </w:rPr>
              <w:br/>
              <w:t>Asha and the Spirit Bird</w:t>
            </w:r>
            <w:r w:rsidRPr="00AE0F64">
              <w:rPr>
                <w:rFonts w:ascii="Aptos" w:hAnsi="Aptos"/>
              </w:rPr>
              <w:br/>
              <w:t>Jasbinder Bilan</w:t>
            </w:r>
          </w:p>
        </w:tc>
      </w:tr>
      <w:tr w:rsidR="00474ECB" w:rsidRPr="000D34F8" w14:paraId="41CD4F25" w14:textId="77777777" w:rsidTr="006D7877">
        <w:trPr>
          <w:trHeight w:val="699"/>
        </w:trPr>
        <w:tc>
          <w:tcPr>
            <w:tcW w:w="2072" w:type="dxa"/>
            <w:tcBorders>
              <w:top w:val="single" w:sz="4" w:space="0" w:color="auto"/>
              <w:left w:val="single" w:sz="4" w:space="0" w:color="4A11E9"/>
              <w:bottom w:val="single" w:sz="4" w:space="0" w:color="auto"/>
              <w:right w:val="single" w:sz="4" w:space="0" w:color="auto"/>
            </w:tcBorders>
            <w:hideMark/>
          </w:tcPr>
          <w:p w14:paraId="00E42263" w14:textId="77777777" w:rsidR="00474ECB" w:rsidRPr="000D34F8" w:rsidRDefault="00474ECB" w:rsidP="006A60C5">
            <w:pPr>
              <w:spacing w:after="160" w:line="278" w:lineRule="auto"/>
              <w:rPr>
                <w:b/>
              </w:rPr>
            </w:pPr>
            <w:r w:rsidRPr="000D34F8">
              <w:rPr>
                <w:b/>
              </w:rPr>
              <w:t>KEY KNOWLEDGE &amp; SKILLS</w:t>
            </w:r>
          </w:p>
        </w:tc>
        <w:tc>
          <w:tcPr>
            <w:tcW w:w="11876" w:type="dxa"/>
            <w:gridSpan w:val="6"/>
            <w:tcBorders>
              <w:top w:val="single" w:sz="4" w:space="0" w:color="auto"/>
              <w:left w:val="single" w:sz="4" w:space="0" w:color="auto"/>
              <w:bottom w:val="single" w:sz="4" w:space="0" w:color="auto"/>
              <w:right w:val="single" w:sz="4" w:space="0" w:color="4A11E9"/>
            </w:tcBorders>
          </w:tcPr>
          <w:p w14:paraId="0C7A103B" w14:textId="419C89E8" w:rsidR="00474ECB" w:rsidRPr="001D568E" w:rsidRDefault="0077257C" w:rsidP="009563DD">
            <w:r w:rsidRPr="0077257C">
              <w:t>Across the year, pupils develop their reading skills through a range of fiction and non-fiction texts linked to their class topics. In Autumn 1, pupils read biographies about explorers such as Edmund Hillary, learning to retrieve key facts and understand chronological information. In Autumn 2, they explore The Patchwork Quilt by Valerie Flournoy, focusing on character understanding, themes and how authors describe emotions and memories. In Spring 1, pupils read biographies and information texts about influential Muslim doctors such as Ibn al-Nafis and Ibn Sina, identifying key facts and discussing their historical impact. In Spring 2, pupils read Roman history texts and information books, developing their ability to understand technical vocabulary and how non-fiction texts organise information. In Summer 1, they continue exploring Roman sources to deepen their knowledge of Roman life and artefacts. In Summer 2, pupils practise summarising key ideas and evaluating the reliability of historical sources.</w:t>
            </w:r>
          </w:p>
        </w:tc>
      </w:tr>
    </w:tbl>
    <w:p w14:paraId="32C194C3" w14:textId="77777777" w:rsidR="00474ECB" w:rsidRDefault="00474ECB"/>
    <w:sectPr w:rsidR="00474ECB" w:rsidSect="00474E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B"/>
    <w:rsid w:val="00022DDB"/>
    <w:rsid w:val="00100249"/>
    <w:rsid w:val="001D568E"/>
    <w:rsid w:val="00214E9E"/>
    <w:rsid w:val="00272250"/>
    <w:rsid w:val="00457209"/>
    <w:rsid w:val="00474ECB"/>
    <w:rsid w:val="004E4AA8"/>
    <w:rsid w:val="006C0059"/>
    <w:rsid w:val="006D7877"/>
    <w:rsid w:val="006F536C"/>
    <w:rsid w:val="0075276B"/>
    <w:rsid w:val="0077257C"/>
    <w:rsid w:val="00792B64"/>
    <w:rsid w:val="009563DD"/>
    <w:rsid w:val="009970ED"/>
    <w:rsid w:val="009F62EC"/>
    <w:rsid w:val="00A130A1"/>
    <w:rsid w:val="00A25609"/>
    <w:rsid w:val="00AB1624"/>
    <w:rsid w:val="00AB408F"/>
    <w:rsid w:val="00BD3B35"/>
    <w:rsid w:val="00C379E9"/>
    <w:rsid w:val="00C45F45"/>
    <w:rsid w:val="00C759C3"/>
    <w:rsid w:val="00D20077"/>
    <w:rsid w:val="00DA019A"/>
    <w:rsid w:val="00DC0762"/>
    <w:rsid w:val="00DE7A55"/>
    <w:rsid w:val="00EC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1675"/>
  <w15:chartTrackingRefBased/>
  <w15:docId w15:val="{B4765F21-4F02-4B59-87D5-E76587B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CB"/>
  </w:style>
  <w:style w:type="paragraph" w:styleId="Heading1">
    <w:name w:val="heading 1"/>
    <w:basedOn w:val="Normal"/>
    <w:next w:val="Normal"/>
    <w:link w:val="Heading1Char"/>
    <w:uiPriority w:val="9"/>
    <w:qFormat/>
    <w:rsid w:val="00474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CB"/>
    <w:rPr>
      <w:rFonts w:eastAsiaTheme="majorEastAsia" w:cstheme="majorBidi"/>
      <w:color w:val="272727" w:themeColor="text1" w:themeTint="D8"/>
    </w:rPr>
  </w:style>
  <w:style w:type="paragraph" w:styleId="Title">
    <w:name w:val="Title"/>
    <w:basedOn w:val="Normal"/>
    <w:next w:val="Normal"/>
    <w:link w:val="TitleChar"/>
    <w:uiPriority w:val="10"/>
    <w:qFormat/>
    <w:rsid w:val="0047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CB"/>
    <w:pPr>
      <w:spacing w:before="160"/>
      <w:jc w:val="center"/>
    </w:pPr>
    <w:rPr>
      <w:i/>
      <w:iCs/>
      <w:color w:val="404040" w:themeColor="text1" w:themeTint="BF"/>
    </w:rPr>
  </w:style>
  <w:style w:type="character" w:customStyle="1" w:styleId="QuoteChar">
    <w:name w:val="Quote Char"/>
    <w:basedOn w:val="DefaultParagraphFont"/>
    <w:link w:val="Quote"/>
    <w:uiPriority w:val="29"/>
    <w:rsid w:val="00474ECB"/>
    <w:rPr>
      <w:i/>
      <w:iCs/>
      <w:color w:val="404040" w:themeColor="text1" w:themeTint="BF"/>
    </w:rPr>
  </w:style>
  <w:style w:type="paragraph" w:styleId="ListParagraph">
    <w:name w:val="List Paragraph"/>
    <w:basedOn w:val="Normal"/>
    <w:uiPriority w:val="34"/>
    <w:qFormat/>
    <w:rsid w:val="00474ECB"/>
    <w:pPr>
      <w:ind w:left="720"/>
      <w:contextualSpacing/>
    </w:pPr>
  </w:style>
  <w:style w:type="character" w:styleId="IntenseEmphasis">
    <w:name w:val="Intense Emphasis"/>
    <w:basedOn w:val="DefaultParagraphFont"/>
    <w:uiPriority w:val="21"/>
    <w:qFormat/>
    <w:rsid w:val="00474ECB"/>
    <w:rPr>
      <w:i/>
      <w:iCs/>
      <w:color w:val="0F4761" w:themeColor="accent1" w:themeShade="BF"/>
    </w:rPr>
  </w:style>
  <w:style w:type="paragraph" w:styleId="IntenseQuote">
    <w:name w:val="Intense Quote"/>
    <w:basedOn w:val="Normal"/>
    <w:next w:val="Normal"/>
    <w:link w:val="IntenseQuoteChar"/>
    <w:uiPriority w:val="30"/>
    <w:qFormat/>
    <w:rsid w:val="00474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ECB"/>
    <w:rPr>
      <w:i/>
      <w:iCs/>
      <w:color w:val="0F4761" w:themeColor="accent1" w:themeShade="BF"/>
    </w:rPr>
  </w:style>
  <w:style w:type="character" w:styleId="IntenseReference">
    <w:name w:val="Intense Reference"/>
    <w:basedOn w:val="DefaultParagraphFont"/>
    <w:uiPriority w:val="32"/>
    <w:qFormat/>
    <w:rsid w:val="00474ECB"/>
    <w:rPr>
      <w:b/>
      <w:bCs/>
      <w:smallCaps/>
      <w:color w:val="0F4761" w:themeColor="accent1" w:themeShade="BF"/>
      <w:spacing w:val="5"/>
    </w:rPr>
  </w:style>
  <w:style w:type="table" w:styleId="TableGrid">
    <w:name w:val="Table Grid"/>
    <w:basedOn w:val="TableNormal"/>
    <w:uiPriority w:val="39"/>
    <w:rsid w:val="0047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1DAF9-6655-43DF-A896-E838D2FA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0B14-04B3-41BE-8F2B-03525C67BD65}">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3.xml><?xml version="1.0" encoding="utf-8"?>
<ds:datastoreItem xmlns:ds="http://schemas.openxmlformats.org/officeDocument/2006/customXml" ds:itemID="{8A6286FE-01C2-4909-A35B-4A76696AD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Saaqia Alyas</dc:creator>
  <cp:keywords/>
  <dc:description/>
  <cp:lastModifiedBy>Huma Ahmed</cp:lastModifiedBy>
  <cp:revision>29</cp:revision>
  <dcterms:created xsi:type="dcterms:W3CDTF">2026-03-09T12:51:00Z</dcterms:created>
  <dcterms:modified xsi:type="dcterms:W3CDTF">2026-03-12T14:37:00Z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