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428D4F74" w:rsidR="00A62F0F" w:rsidRPr="00240BE3" w:rsidRDefault="005443CA" w:rsidP="00A62F0F">
      <w:pPr>
        <w:pStyle w:val="Heading1"/>
      </w:pPr>
      <w:r>
        <w:t>History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5"/>
        <w:gridCol w:w="2224"/>
        <w:gridCol w:w="2193"/>
        <w:gridCol w:w="2195"/>
        <w:gridCol w:w="2194"/>
        <w:gridCol w:w="2192"/>
        <w:gridCol w:w="2195"/>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2FA81195" w:rsidR="00A62F0F" w:rsidRPr="00E35C65" w:rsidRDefault="00A62F0F" w:rsidP="00F7388D">
            <w:pPr>
              <w:pStyle w:val="Heading2"/>
              <w:rPr>
                <w:color w:val="F5C823"/>
              </w:rPr>
            </w:pPr>
            <w:r w:rsidRPr="00E35C65">
              <w:rPr>
                <w:color w:val="F5C823"/>
              </w:rPr>
              <w:t xml:space="preserve">YEAR </w:t>
            </w:r>
            <w:r w:rsidR="009E0255">
              <w:rPr>
                <w:color w:val="F5C823"/>
              </w:rPr>
              <w:t>3</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E41C0B" w:rsidRPr="00240BE3" w14:paraId="294D0E01" w14:textId="77777777" w:rsidTr="0099379F">
        <w:trPr>
          <w:trHeight w:val="1410"/>
        </w:trPr>
        <w:tc>
          <w:tcPr>
            <w:tcW w:w="2198" w:type="dxa"/>
            <w:tcBorders>
              <w:left w:val="single" w:sz="4" w:space="0" w:color="4A11E9"/>
            </w:tcBorders>
          </w:tcPr>
          <w:p w14:paraId="478A1EE0" w14:textId="4990204B" w:rsidR="00E41C0B" w:rsidRPr="00240BE3" w:rsidRDefault="00E41C0B" w:rsidP="00E41C0B">
            <w:pPr>
              <w:pStyle w:val="Heading3"/>
            </w:pPr>
            <w:r w:rsidRPr="00240BE3">
              <w:t>TOPIC</w:t>
            </w:r>
            <w:r>
              <w:t>/FOCUS</w:t>
            </w:r>
          </w:p>
        </w:tc>
        <w:tc>
          <w:tcPr>
            <w:tcW w:w="2198" w:type="dxa"/>
          </w:tcPr>
          <w:p w14:paraId="352BE7ED" w14:textId="77777777" w:rsidR="0099379F" w:rsidRDefault="0099379F" w:rsidP="00E41C0B">
            <w:pPr>
              <w:jc w:val="center"/>
              <w:rPr>
                <w:b/>
              </w:rPr>
            </w:pPr>
          </w:p>
          <w:p w14:paraId="5AF89A62" w14:textId="05053E19" w:rsidR="00E41C0B" w:rsidRDefault="00E41C0B" w:rsidP="00E41C0B">
            <w:pPr>
              <w:jc w:val="center"/>
              <w:rPr>
                <w:b/>
              </w:rPr>
            </w:pPr>
            <w:r>
              <w:rPr>
                <w:b/>
              </w:rPr>
              <w:t xml:space="preserve">Scrumdiddlyumptious </w:t>
            </w:r>
          </w:p>
          <w:p w14:paraId="0E477DB1" w14:textId="77777777" w:rsidR="00E41C0B" w:rsidRDefault="00E41C0B" w:rsidP="00E41C0B">
            <w:pPr>
              <w:jc w:val="center"/>
              <w:rPr>
                <w:b/>
              </w:rPr>
            </w:pPr>
            <w:r>
              <w:rPr>
                <w:b/>
              </w:rPr>
              <w:t xml:space="preserve"> &amp;</w:t>
            </w:r>
          </w:p>
          <w:p w14:paraId="67ADABD7" w14:textId="77777777" w:rsidR="00E41C0B" w:rsidRDefault="00E41C0B" w:rsidP="00E41C0B">
            <w:pPr>
              <w:jc w:val="center"/>
              <w:rPr>
                <w:b/>
                <w:color w:val="FF0000"/>
              </w:rPr>
            </w:pPr>
            <w:r>
              <w:rPr>
                <w:b/>
              </w:rPr>
              <w:t>Cook Well, Eat Well</w:t>
            </w:r>
            <w:r w:rsidRPr="00B628B3">
              <w:rPr>
                <w:b/>
                <w:color w:val="FF0000"/>
              </w:rPr>
              <w:t xml:space="preserve"> </w:t>
            </w:r>
          </w:p>
          <w:p w14:paraId="18CF6453" w14:textId="0CA64E52" w:rsidR="00E41C0B" w:rsidRPr="00FE14E1" w:rsidRDefault="00E41C0B" w:rsidP="00E41C0B">
            <w:pPr>
              <w:rPr>
                <w:rFonts w:cstheme="minorHAnsi"/>
                <w:sz w:val="24"/>
                <w:szCs w:val="24"/>
              </w:rPr>
            </w:pPr>
            <w:r>
              <w:rPr>
                <w:b/>
              </w:rPr>
              <w:t xml:space="preserve"> </w:t>
            </w:r>
          </w:p>
        </w:tc>
        <w:tc>
          <w:tcPr>
            <w:tcW w:w="2198" w:type="dxa"/>
          </w:tcPr>
          <w:p w14:paraId="287D746D" w14:textId="77777777" w:rsidR="0099379F" w:rsidRDefault="0099379F" w:rsidP="00E41C0B">
            <w:pPr>
              <w:jc w:val="center"/>
              <w:rPr>
                <w:b/>
              </w:rPr>
            </w:pPr>
          </w:p>
          <w:p w14:paraId="631752E3" w14:textId="706D3454" w:rsidR="00E41C0B" w:rsidRDefault="00E41C0B" w:rsidP="00E41C0B">
            <w:pPr>
              <w:jc w:val="center"/>
              <w:rPr>
                <w:b/>
              </w:rPr>
            </w:pPr>
            <w:r>
              <w:rPr>
                <w:b/>
              </w:rPr>
              <w:t>Through the Ages</w:t>
            </w:r>
          </w:p>
          <w:p w14:paraId="10D3CA06" w14:textId="77777777" w:rsidR="00E41C0B" w:rsidRPr="00591967" w:rsidRDefault="00E41C0B" w:rsidP="00E41C0B">
            <w:pPr>
              <w:jc w:val="center"/>
              <w:rPr>
                <w:b/>
              </w:rPr>
            </w:pPr>
            <w:r>
              <w:rPr>
                <w:b/>
              </w:rPr>
              <w:t>&amp;</w:t>
            </w:r>
          </w:p>
          <w:p w14:paraId="27FA0FD0" w14:textId="77777777" w:rsidR="00E41C0B" w:rsidRPr="00591967" w:rsidRDefault="00E41C0B" w:rsidP="00E41C0B">
            <w:pPr>
              <w:jc w:val="center"/>
              <w:rPr>
                <w:b/>
              </w:rPr>
            </w:pPr>
            <w:r w:rsidRPr="00591967">
              <w:rPr>
                <w:b/>
              </w:rPr>
              <w:t>Prehistoric Pots</w:t>
            </w:r>
          </w:p>
          <w:p w14:paraId="67487BAC" w14:textId="46F666ED" w:rsidR="00E41C0B" w:rsidRPr="00240BE3" w:rsidRDefault="00E41C0B" w:rsidP="00E41C0B">
            <w:pPr>
              <w:jc w:val="center"/>
              <w:rPr>
                <w:rFonts w:cstheme="minorHAnsi"/>
                <w:b/>
                <w:sz w:val="28"/>
                <w:szCs w:val="24"/>
              </w:rPr>
            </w:pPr>
          </w:p>
        </w:tc>
        <w:tc>
          <w:tcPr>
            <w:tcW w:w="2199" w:type="dxa"/>
          </w:tcPr>
          <w:p w14:paraId="3C23E066" w14:textId="77777777" w:rsidR="0099379F" w:rsidRDefault="0099379F" w:rsidP="00E41C0B">
            <w:pPr>
              <w:jc w:val="center"/>
              <w:rPr>
                <w:b/>
              </w:rPr>
            </w:pPr>
          </w:p>
          <w:p w14:paraId="3F3D6AEA" w14:textId="6FE84174" w:rsidR="00E41C0B" w:rsidRDefault="00E41C0B" w:rsidP="00E41C0B">
            <w:pPr>
              <w:jc w:val="center"/>
              <w:rPr>
                <w:b/>
              </w:rPr>
            </w:pPr>
            <w:r>
              <w:rPr>
                <w:b/>
              </w:rPr>
              <w:t>Rocks, Relics and Rumbles</w:t>
            </w:r>
          </w:p>
          <w:p w14:paraId="62BD662D" w14:textId="71DD042F" w:rsidR="00E41C0B" w:rsidRPr="00240BE3" w:rsidRDefault="00E41C0B" w:rsidP="00E41C0B">
            <w:pPr>
              <w:jc w:val="center"/>
              <w:rPr>
                <w:rFonts w:cstheme="minorHAnsi"/>
                <w:b/>
                <w:sz w:val="28"/>
                <w:szCs w:val="24"/>
              </w:rPr>
            </w:pPr>
          </w:p>
        </w:tc>
        <w:tc>
          <w:tcPr>
            <w:tcW w:w="2198" w:type="dxa"/>
          </w:tcPr>
          <w:p w14:paraId="74B0EBDD" w14:textId="77777777" w:rsidR="0099379F" w:rsidRDefault="0099379F" w:rsidP="00E41C0B">
            <w:pPr>
              <w:jc w:val="center"/>
              <w:rPr>
                <w:b/>
              </w:rPr>
            </w:pPr>
          </w:p>
          <w:p w14:paraId="323B705F" w14:textId="47647A34" w:rsidR="00E41C0B" w:rsidRDefault="00E41C0B" w:rsidP="00E41C0B">
            <w:pPr>
              <w:jc w:val="center"/>
              <w:rPr>
                <w:b/>
              </w:rPr>
            </w:pPr>
            <w:r>
              <w:rPr>
                <w:b/>
              </w:rPr>
              <w:t>Greenhouse</w:t>
            </w:r>
            <w:r w:rsidRPr="00B628B3">
              <w:rPr>
                <w:b/>
                <w:color w:val="FF0000"/>
              </w:rPr>
              <w:t xml:space="preserve"> </w:t>
            </w:r>
          </w:p>
          <w:p w14:paraId="6F21CAFF" w14:textId="319D128A" w:rsidR="00E41C0B" w:rsidRPr="00240BE3" w:rsidRDefault="00E41C0B" w:rsidP="00E41C0B">
            <w:pPr>
              <w:jc w:val="center"/>
              <w:rPr>
                <w:rFonts w:cstheme="minorHAnsi"/>
                <w:b/>
                <w:sz w:val="28"/>
                <w:szCs w:val="24"/>
              </w:rPr>
            </w:pPr>
          </w:p>
        </w:tc>
        <w:tc>
          <w:tcPr>
            <w:tcW w:w="2198" w:type="dxa"/>
          </w:tcPr>
          <w:p w14:paraId="61915AA0" w14:textId="77777777" w:rsidR="0099379F" w:rsidRDefault="0099379F" w:rsidP="00E41C0B">
            <w:pPr>
              <w:jc w:val="center"/>
              <w:rPr>
                <w:b/>
              </w:rPr>
            </w:pPr>
          </w:p>
          <w:p w14:paraId="2D52AC6D" w14:textId="4255685C" w:rsidR="00E41C0B" w:rsidRDefault="00E41C0B" w:rsidP="00E41C0B">
            <w:pPr>
              <w:jc w:val="center"/>
              <w:rPr>
                <w:b/>
              </w:rPr>
            </w:pPr>
            <w:r>
              <w:rPr>
                <w:b/>
              </w:rPr>
              <w:t>Gods and Mortals</w:t>
            </w:r>
          </w:p>
          <w:p w14:paraId="1705AD62" w14:textId="2A02344C" w:rsidR="00E41C0B" w:rsidRPr="00240BE3" w:rsidRDefault="00E41C0B" w:rsidP="00E41C0B">
            <w:pPr>
              <w:jc w:val="center"/>
              <w:rPr>
                <w:rFonts w:cstheme="minorHAnsi"/>
                <w:b/>
                <w:sz w:val="28"/>
                <w:szCs w:val="24"/>
              </w:rPr>
            </w:pPr>
          </w:p>
        </w:tc>
        <w:tc>
          <w:tcPr>
            <w:tcW w:w="2199" w:type="dxa"/>
          </w:tcPr>
          <w:p w14:paraId="021F67C2" w14:textId="77777777" w:rsidR="0099379F" w:rsidRDefault="0099379F" w:rsidP="00E41C0B">
            <w:pPr>
              <w:jc w:val="center"/>
              <w:rPr>
                <w:b/>
              </w:rPr>
            </w:pPr>
          </w:p>
          <w:p w14:paraId="57ADA91D" w14:textId="204E97B9" w:rsidR="00E41C0B" w:rsidRDefault="00E41C0B" w:rsidP="00E41C0B">
            <w:pPr>
              <w:jc w:val="center"/>
              <w:rPr>
                <w:b/>
              </w:rPr>
            </w:pPr>
            <w:r>
              <w:rPr>
                <w:b/>
              </w:rPr>
              <w:t>One Planet, our World</w:t>
            </w:r>
          </w:p>
          <w:p w14:paraId="5D2D2E10" w14:textId="77777777" w:rsidR="00E41C0B" w:rsidRPr="00240BE3" w:rsidRDefault="00E41C0B" w:rsidP="00E41C0B">
            <w:pPr>
              <w:jc w:val="center"/>
              <w:rPr>
                <w:rFonts w:cstheme="minorHAnsi"/>
                <w:b/>
                <w:sz w:val="28"/>
                <w:szCs w:val="24"/>
              </w:rPr>
            </w:pPr>
          </w:p>
        </w:tc>
      </w:tr>
      <w:tr w:rsidR="003A2290" w:rsidRPr="00240BE3" w14:paraId="606B8FD2" w14:textId="77777777" w:rsidTr="00E35C65">
        <w:trPr>
          <w:trHeight w:val="1697"/>
        </w:trPr>
        <w:tc>
          <w:tcPr>
            <w:tcW w:w="2198"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20C961E9" w:rsidR="003A2290" w:rsidRPr="002D2523" w:rsidRDefault="00970C6F" w:rsidP="00F2000E">
            <w:pPr>
              <w:rPr>
                <w:rFonts w:ascii="Calibri" w:hAnsi="Calibri" w:cs="Calibri"/>
                <w:sz w:val="24"/>
                <w:szCs w:val="24"/>
              </w:rPr>
            </w:pPr>
            <w:r w:rsidRPr="002D2523">
              <w:rPr>
                <w:sz w:val="24"/>
                <w:szCs w:val="24"/>
              </w:rPr>
              <w:t xml:space="preserve">Understand the importance of a local heritage site by learning about </w:t>
            </w:r>
            <w:r w:rsidRPr="002D2523">
              <w:rPr>
                <w:rStyle w:val="whitespace-normal"/>
                <w:sz w:val="24"/>
                <w:szCs w:val="24"/>
              </w:rPr>
              <w:t>John Cadbury</w:t>
            </w:r>
            <w:r w:rsidRPr="002D2523">
              <w:rPr>
                <w:sz w:val="24"/>
                <w:szCs w:val="24"/>
              </w:rPr>
              <w:t xml:space="preserve"> and the growth of </w:t>
            </w:r>
            <w:r w:rsidRPr="002D2523">
              <w:rPr>
                <w:rStyle w:val="whitespace-normal"/>
                <w:sz w:val="24"/>
                <w:szCs w:val="24"/>
              </w:rPr>
              <w:t>Cadbury</w:t>
            </w:r>
            <w:r w:rsidRPr="002D2523">
              <w:rPr>
                <w:sz w:val="24"/>
                <w:szCs w:val="24"/>
              </w:rPr>
              <w:t xml:space="preserve"> in </w:t>
            </w:r>
            <w:r w:rsidRPr="002D2523">
              <w:rPr>
                <w:rStyle w:val="whitespace-normal"/>
                <w:sz w:val="24"/>
                <w:szCs w:val="24"/>
              </w:rPr>
              <w:t>Bournville</w:t>
            </w:r>
            <w:r w:rsidRPr="002D2523">
              <w:rPr>
                <w:sz w:val="24"/>
                <w:szCs w:val="24"/>
              </w:rPr>
              <w:t>. Explore early chocolate making</w:t>
            </w:r>
            <w:r w:rsidR="002D2523">
              <w:rPr>
                <w:sz w:val="24"/>
                <w:szCs w:val="24"/>
              </w:rPr>
              <w:t xml:space="preserve">. </w:t>
            </w:r>
            <w:r w:rsidRPr="002D2523">
              <w:rPr>
                <w:sz w:val="24"/>
                <w:szCs w:val="24"/>
              </w:rPr>
              <w:t xml:space="preserve">Create a timeline to show how Bournville developed and why Cadbury is important to </w:t>
            </w:r>
            <w:r w:rsidRPr="002D2523">
              <w:rPr>
                <w:rStyle w:val="whitespace-normal"/>
                <w:sz w:val="24"/>
                <w:szCs w:val="24"/>
              </w:rPr>
              <w:t>Birmingham</w:t>
            </w:r>
            <w:r w:rsidRPr="002D2523">
              <w:rPr>
                <w:sz w:val="24"/>
                <w:szCs w:val="24"/>
              </w:rPr>
              <w:t xml:space="preserve"> today.</w:t>
            </w:r>
          </w:p>
        </w:tc>
        <w:tc>
          <w:tcPr>
            <w:tcW w:w="2198" w:type="dxa"/>
          </w:tcPr>
          <w:p w14:paraId="074F3264" w14:textId="0C9B9D2E" w:rsidR="003A2290" w:rsidRPr="002D2523" w:rsidRDefault="00475C08" w:rsidP="00153311">
            <w:pPr>
              <w:pStyle w:val="NormalWeb"/>
              <w:rPr>
                <w:rFonts w:asciiTheme="minorHAnsi" w:hAnsiTheme="minorHAnsi" w:cstheme="minorHAnsi"/>
              </w:rPr>
            </w:pPr>
            <w:r w:rsidRPr="002D2523">
              <w:rPr>
                <w:rFonts w:asciiTheme="minorHAnsi" w:hAnsiTheme="minorHAnsi" w:cstheme="minorHAnsi"/>
              </w:rPr>
              <w:t xml:space="preserve">Sequence historical periods using a timeline and key terms such as era, century and millennium. Explore life in the </w:t>
            </w:r>
            <w:r w:rsidRPr="002D2523">
              <w:rPr>
                <w:rStyle w:val="whitespace-normal"/>
                <w:rFonts w:asciiTheme="minorHAnsi" w:hAnsiTheme="minorHAnsi" w:cstheme="minorHAnsi"/>
              </w:rPr>
              <w:t>Stone Age</w:t>
            </w:r>
            <w:r w:rsidRPr="002D2523">
              <w:rPr>
                <w:rFonts w:asciiTheme="minorHAnsi" w:hAnsiTheme="minorHAnsi" w:cstheme="minorHAnsi"/>
              </w:rPr>
              <w:t xml:space="preserve"> and </w:t>
            </w:r>
            <w:r w:rsidRPr="002D2523">
              <w:rPr>
                <w:rStyle w:val="whitespace-normal"/>
                <w:rFonts w:asciiTheme="minorHAnsi" w:hAnsiTheme="minorHAnsi" w:cstheme="minorHAnsi"/>
              </w:rPr>
              <w:t>Bronze Age</w:t>
            </w:r>
            <w:r w:rsidRPr="002D2523">
              <w:rPr>
                <w:rFonts w:asciiTheme="minorHAnsi" w:hAnsiTheme="minorHAnsi" w:cstheme="minorHAnsi"/>
              </w:rPr>
              <w:t xml:space="preserve">, including evidence from </w:t>
            </w:r>
            <w:r w:rsidRPr="002D2523">
              <w:rPr>
                <w:rStyle w:val="whitespace-normal"/>
                <w:rFonts w:asciiTheme="minorHAnsi" w:hAnsiTheme="minorHAnsi" w:cstheme="minorHAnsi"/>
              </w:rPr>
              <w:t>Cheddar Man</w:t>
            </w:r>
            <w:r w:rsidRPr="002D2523">
              <w:rPr>
                <w:rFonts w:asciiTheme="minorHAnsi" w:hAnsiTheme="minorHAnsi" w:cstheme="minorHAnsi"/>
              </w:rPr>
              <w:t xml:space="preserve">. Investigate the influence of the </w:t>
            </w:r>
            <w:r w:rsidRPr="002D2523">
              <w:rPr>
                <w:rStyle w:val="whitespace-normal"/>
                <w:rFonts w:asciiTheme="minorHAnsi" w:hAnsiTheme="minorHAnsi" w:cstheme="minorHAnsi"/>
              </w:rPr>
              <w:t>Bell Beaker culture</w:t>
            </w:r>
            <w:r w:rsidRPr="002D2523">
              <w:rPr>
                <w:rFonts w:asciiTheme="minorHAnsi" w:hAnsiTheme="minorHAnsi" w:cstheme="minorHAnsi"/>
              </w:rPr>
              <w:t xml:space="preserve"> and evaluate sources about </w:t>
            </w:r>
            <w:r w:rsidRPr="002D2523">
              <w:rPr>
                <w:rStyle w:val="whitespace-normal"/>
                <w:rFonts w:asciiTheme="minorHAnsi" w:hAnsiTheme="minorHAnsi" w:cstheme="minorHAnsi"/>
              </w:rPr>
              <w:t>Celtic warriors</w:t>
            </w:r>
            <w:r w:rsidRPr="002D2523">
              <w:rPr>
                <w:rFonts w:asciiTheme="minorHAnsi" w:hAnsiTheme="minorHAnsi" w:cstheme="minorHAnsi"/>
              </w:rPr>
              <w:t>.</w:t>
            </w:r>
          </w:p>
        </w:tc>
        <w:tc>
          <w:tcPr>
            <w:tcW w:w="2199" w:type="dxa"/>
          </w:tcPr>
          <w:p w14:paraId="4F3BD53F" w14:textId="3848EFCF" w:rsidR="003A2290" w:rsidRPr="0058146D" w:rsidRDefault="0058146D" w:rsidP="00F7388D">
            <w:pPr>
              <w:rPr>
                <w:rFonts w:cstheme="minorHAnsi"/>
                <w:sz w:val="24"/>
                <w:szCs w:val="24"/>
              </w:rPr>
            </w:pPr>
            <w:r w:rsidRPr="0058146D">
              <w:rPr>
                <w:sz w:val="24"/>
                <w:szCs w:val="24"/>
              </w:rPr>
              <w:t xml:space="preserve">Explain the causes and effects of Mount Vesuvius’ eruption, including its impact on buildings, the environment, and the people of Pompeii. Investigate the sequence of events during the eruption and understand how volcanic activity can affect communities and daily life. </w:t>
            </w:r>
          </w:p>
        </w:tc>
        <w:tc>
          <w:tcPr>
            <w:tcW w:w="2198" w:type="dxa"/>
          </w:tcPr>
          <w:p w14:paraId="2C45811D" w14:textId="4AF2994E" w:rsidR="003A2290" w:rsidRPr="008335B9" w:rsidRDefault="008335B9" w:rsidP="00F7388D">
            <w:pPr>
              <w:rPr>
                <w:rFonts w:cstheme="minorHAnsi"/>
                <w:sz w:val="24"/>
                <w:szCs w:val="24"/>
              </w:rPr>
            </w:pPr>
            <w:r w:rsidRPr="008335B9">
              <w:rPr>
                <w:sz w:val="24"/>
                <w:szCs w:val="24"/>
              </w:rPr>
              <w:t xml:space="preserve">Learn about Ibn al-Awwam, a 12th-century agriculturalist from Spain who wrote </w:t>
            </w:r>
            <w:r w:rsidRPr="008335B9">
              <w:rPr>
                <w:rStyle w:val="Emphasis"/>
                <w:sz w:val="24"/>
                <w:szCs w:val="24"/>
              </w:rPr>
              <w:t>Kitab al-Filaha</w:t>
            </w:r>
            <w:r w:rsidRPr="008335B9">
              <w:rPr>
                <w:sz w:val="24"/>
                <w:szCs w:val="24"/>
              </w:rPr>
              <w:t xml:space="preserve">, documenting important farming techniques. Explore his methods for crop rotation, irrigation, and cultivating fruit and vegetables to improve harvests. </w:t>
            </w:r>
          </w:p>
        </w:tc>
        <w:tc>
          <w:tcPr>
            <w:tcW w:w="2198" w:type="dxa"/>
          </w:tcPr>
          <w:p w14:paraId="4A3FDAEA" w14:textId="6AEEAA76" w:rsidR="003A2290" w:rsidRPr="00A71449" w:rsidRDefault="00A71449" w:rsidP="00D34845">
            <w:pPr>
              <w:rPr>
                <w:rFonts w:cstheme="minorHAnsi"/>
                <w:sz w:val="24"/>
                <w:szCs w:val="24"/>
              </w:rPr>
            </w:pPr>
            <w:r w:rsidRPr="00A71449">
              <w:rPr>
                <w:sz w:val="24"/>
                <w:szCs w:val="24"/>
              </w:rPr>
              <w:t>Investigate ancient Greek artefacts and record findings to understand daily life, culture, and society. Create a timeline of key events and explore links to modern life. Compare rich and poor Greeks and label soldiers to understand their roles, armour, and battle strategies in context.</w:t>
            </w:r>
          </w:p>
        </w:tc>
        <w:tc>
          <w:tcPr>
            <w:tcW w:w="2199" w:type="dxa"/>
            <w:tcBorders>
              <w:right w:val="single" w:sz="4" w:space="0" w:color="4A11E9"/>
            </w:tcBorders>
          </w:tcPr>
          <w:p w14:paraId="79417D29" w14:textId="44B8E675" w:rsidR="003A2290" w:rsidRPr="00523A02" w:rsidRDefault="00523A02" w:rsidP="00F7388D">
            <w:pPr>
              <w:rPr>
                <w:rFonts w:cstheme="minorHAnsi"/>
                <w:sz w:val="24"/>
                <w:szCs w:val="24"/>
              </w:rPr>
            </w:pPr>
            <w:r w:rsidRPr="00523A02">
              <w:rPr>
                <w:sz w:val="24"/>
                <w:szCs w:val="24"/>
              </w:rPr>
              <w:t xml:space="preserve">Investigate how humans have interacted with their environment, including changes in settlements, land use, and resources. Explore the development of communities in the UK and Europe and </w:t>
            </w:r>
            <w:r w:rsidR="00256949">
              <w:rPr>
                <w:sz w:val="24"/>
                <w:szCs w:val="24"/>
              </w:rPr>
              <w:t xml:space="preserve">their key </w:t>
            </w:r>
            <w:r w:rsidRPr="00523A02">
              <w:rPr>
                <w:sz w:val="24"/>
                <w:szCs w:val="24"/>
              </w:rPr>
              <w:t>human and physical features. Examine how climate influenced daily life.</w:t>
            </w:r>
          </w:p>
        </w:tc>
      </w:tr>
      <w:tr w:rsidR="003A2290"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t>ORACY OUTCOME</w:t>
            </w:r>
          </w:p>
        </w:tc>
        <w:tc>
          <w:tcPr>
            <w:tcW w:w="2198" w:type="dxa"/>
            <w:tcBorders>
              <w:bottom w:val="single" w:sz="4" w:space="0" w:color="4A11E9"/>
            </w:tcBorders>
          </w:tcPr>
          <w:p w14:paraId="74069B5B" w14:textId="59748207" w:rsidR="002A2D48" w:rsidRPr="002A2D48" w:rsidRDefault="00CB3C1A" w:rsidP="0099379F">
            <w:pPr>
              <w:jc w:val="center"/>
              <w:rPr>
                <w:rFonts w:cstheme="minorHAnsi"/>
                <w:sz w:val="24"/>
                <w:szCs w:val="24"/>
              </w:rPr>
            </w:pPr>
            <w:r>
              <w:t>Role-Play/Hot Seating- John Cadbury</w:t>
            </w:r>
          </w:p>
        </w:tc>
        <w:tc>
          <w:tcPr>
            <w:tcW w:w="2198" w:type="dxa"/>
            <w:tcBorders>
              <w:bottom w:val="single" w:sz="4" w:space="0" w:color="4A11E9"/>
            </w:tcBorders>
          </w:tcPr>
          <w:p w14:paraId="33DEA1E5" w14:textId="194342EA" w:rsidR="003A2290" w:rsidRPr="00CE4FAC" w:rsidRDefault="002A71EC" w:rsidP="0099379F">
            <w:pPr>
              <w:jc w:val="center"/>
              <w:rPr>
                <w:rFonts w:cstheme="minorHAnsi"/>
                <w:sz w:val="24"/>
                <w:szCs w:val="24"/>
              </w:rPr>
            </w:pPr>
            <w:r w:rsidRPr="00CE4FAC">
              <w:rPr>
                <w:rFonts w:cstheme="minorHAnsi"/>
                <w:sz w:val="24"/>
                <w:szCs w:val="24"/>
              </w:rPr>
              <w:t>Timeline Presentation and discussion</w:t>
            </w:r>
          </w:p>
        </w:tc>
        <w:tc>
          <w:tcPr>
            <w:tcW w:w="2199" w:type="dxa"/>
            <w:tcBorders>
              <w:bottom w:val="single" w:sz="4" w:space="0" w:color="4A11E9"/>
            </w:tcBorders>
          </w:tcPr>
          <w:p w14:paraId="357413DE" w14:textId="7925E174" w:rsidR="003A2290" w:rsidRPr="00CE4FAC" w:rsidRDefault="00BA680B" w:rsidP="0099379F">
            <w:pPr>
              <w:jc w:val="center"/>
              <w:rPr>
                <w:rFonts w:cstheme="minorHAnsi"/>
                <w:sz w:val="24"/>
                <w:szCs w:val="24"/>
              </w:rPr>
            </w:pPr>
            <w:r w:rsidRPr="00CE4FAC">
              <w:rPr>
                <w:rFonts w:cstheme="minorHAnsi"/>
                <w:sz w:val="24"/>
                <w:szCs w:val="24"/>
              </w:rPr>
              <w:t>Sharing findings of source investigation.</w:t>
            </w:r>
          </w:p>
        </w:tc>
        <w:tc>
          <w:tcPr>
            <w:tcW w:w="2198" w:type="dxa"/>
            <w:tcBorders>
              <w:bottom w:val="single" w:sz="4" w:space="0" w:color="4A11E9"/>
            </w:tcBorders>
          </w:tcPr>
          <w:p w14:paraId="0DE608AA" w14:textId="22462DC0" w:rsidR="003A2290" w:rsidRPr="00CE4FAC" w:rsidRDefault="007B5075" w:rsidP="0099379F">
            <w:pPr>
              <w:jc w:val="center"/>
              <w:rPr>
                <w:rFonts w:cstheme="minorHAnsi"/>
                <w:sz w:val="24"/>
                <w:szCs w:val="24"/>
              </w:rPr>
            </w:pPr>
            <w:r w:rsidRPr="00CE4FAC">
              <w:rPr>
                <w:rFonts w:cstheme="minorHAnsi"/>
                <w:sz w:val="24"/>
                <w:szCs w:val="24"/>
              </w:rPr>
              <w:t>Research</w:t>
            </w:r>
            <w:r w:rsidR="004645A4" w:rsidRPr="00CE4FAC">
              <w:rPr>
                <w:rFonts w:cstheme="minorHAnsi"/>
                <w:sz w:val="24"/>
                <w:szCs w:val="24"/>
              </w:rPr>
              <w:t xml:space="preserve"> and present facts about Ibn-al Awwam</w:t>
            </w:r>
          </w:p>
        </w:tc>
        <w:tc>
          <w:tcPr>
            <w:tcW w:w="2198" w:type="dxa"/>
            <w:tcBorders>
              <w:bottom w:val="single" w:sz="4" w:space="0" w:color="4A11E9"/>
            </w:tcBorders>
          </w:tcPr>
          <w:p w14:paraId="0E5C0B7B" w14:textId="2C163EF9" w:rsidR="003A2290" w:rsidRPr="00CE4FAC" w:rsidRDefault="00E35704" w:rsidP="0099379F">
            <w:pPr>
              <w:jc w:val="center"/>
              <w:rPr>
                <w:rFonts w:cstheme="minorHAnsi"/>
                <w:sz w:val="24"/>
                <w:szCs w:val="24"/>
              </w:rPr>
            </w:pPr>
            <w:r w:rsidRPr="00CE4FAC">
              <w:rPr>
                <w:rFonts w:cstheme="minorHAnsi"/>
                <w:sz w:val="24"/>
                <w:szCs w:val="24"/>
              </w:rPr>
              <w:t>Group discussion</w:t>
            </w:r>
          </w:p>
        </w:tc>
        <w:tc>
          <w:tcPr>
            <w:tcW w:w="2199" w:type="dxa"/>
            <w:tcBorders>
              <w:bottom w:val="single" w:sz="4" w:space="0" w:color="4A11E9"/>
              <w:right w:val="single" w:sz="4" w:space="0" w:color="4A11E9"/>
            </w:tcBorders>
          </w:tcPr>
          <w:p w14:paraId="361E2629" w14:textId="7D98E732" w:rsidR="003A2290" w:rsidRPr="00CE4FAC" w:rsidRDefault="003D4BC1" w:rsidP="0099379F">
            <w:pPr>
              <w:tabs>
                <w:tab w:val="center" w:pos="4201"/>
                <w:tab w:val="left" w:pos="6425"/>
              </w:tabs>
              <w:jc w:val="center"/>
              <w:rPr>
                <w:rFonts w:cstheme="minorHAnsi"/>
                <w:bCs/>
                <w:sz w:val="24"/>
                <w:szCs w:val="24"/>
              </w:rPr>
            </w:pPr>
            <w:r w:rsidRPr="00CE4FAC">
              <w:rPr>
                <w:rFonts w:cstheme="minorHAnsi"/>
                <w:bCs/>
                <w:sz w:val="24"/>
                <w:szCs w:val="24"/>
              </w:rPr>
              <w:t>Question and answer session</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799E"/>
    <w:multiLevelType w:val="hybridMultilevel"/>
    <w:tmpl w:val="0906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8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06A44"/>
    <w:rsid w:val="00081EB4"/>
    <w:rsid w:val="001155E0"/>
    <w:rsid w:val="00127ECE"/>
    <w:rsid w:val="00144CCF"/>
    <w:rsid w:val="00153311"/>
    <w:rsid w:val="00176BF3"/>
    <w:rsid w:val="00180D14"/>
    <w:rsid w:val="001B41DE"/>
    <w:rsid w:val="002462E4"/>
    <w:rsid w:val="002530BD"/>
    <w:rsid w:val="00256949"/>
    <w:rsid w:val="002A2D48"/>
    <w:rsid w:val="002A71EC"/>
    <w:rsid w:val="002D2523"/>
    <w:rsid w:val="00307BAB"/>
    <w:rsid w:val="0037647F"/>
    <w:rsid w:val="003A2290"/>
    <w:rsid w:val="003D4BC1"/>
    <w:rsid w:val="00417ED5"/>
    <w:rsid w:val="004504A1"/>
    <w:rsid w:val="004645A4"/>
    <w:rsid w:val="00475C08"/>
    <w:rsid w:val="004D4F6E"/>
    <w:rsid w:val="004E5A4A"/>
    <w:rsid w:val="0051220E"/>
    <w:rsid w:val="00523A02"/>
    <w:rsid w:val="005443CA"/>
    <w:rsid w:val="0058146D"/>
    <w:rsid w:val="00606343"/>
    <w:rsid w:val="006309E2"/>
    <w:rsid w:val="00632043"/>
    <w:rsid w:val="0065765F"/>
    <w:rsid w:val="0066710D"/>
    <w:rsid w:val="006B03E6"/>
    <w:rsid w:val="006B67C4"/>
    <w:rsid w:val="006F205C"/>
    <w:rsid w:val="0075630C"/>
    <w:rsid w:val="0078608D"/>
    <w:rsid w:val="007B5075"/>
    <w:rsid w:val="00827164"/>
    <w:rsid w:val="008335B9"/>
    <w:rsid w:val="008E6DC1"/>
    <w:rsid w:val="00970C6F"/>
    <w:rsid w:val="0099379F"/>
    <w:rsid w:val="009C059F"/>
    <w:rsid w:val="009D1CF2"/>
    <w:rsid w:val="009D326D"/>
    <w:rsid w:val="009E0255"/>
    <w:rsid w:val="009E1B0D"/>
    <w:rsid w:val="00A047AE"/>
    <w:rsid w:val="00A62F0F"/>
    <w:rsid w:val="00A71449"/>
    <w:rsid w:val="00AD3938"/>
    <w:rsid w:val="00AF69D6"/>
    <w:rsid w:val="00B15CBF"/>
    <w:rsid w:val="00B224C8"/>
    <w:rsid w:val="00BA680B"/>
    <w:rsid w:val="00BB542D"/>
    <w:rsid w:val="00C15BA8"/>
    <w:rsid w:val="00C30079"/>
    <w:rsid w:val="00C370AA"/>
    <w:rsid w:val="00C50191"/>
    <w:rsid w:val="00C633AA"/>
    <w:rsid w:val="00C732FC"/>
    <w:rsid w:val="00C8783D"/>
    <w:rsid w:val="00CB3C1A"/>
    <w:rsid w:val="00CE4FAC"/>
    <w:rsid w:val="00D34845"/>
    <w:rsid w:val="00D36BF1"/>
    <w:rsid w:val="00D462E1"/>
    <w:rsid w:val="00DD7F82"/>
    <w:rsid w:val="00DE0625"/>
    <w:rsid w:val="00E1417C"/>
    <w:rsid w:val="00E35704"/>
    <w:rsid w:val="00E35C65"/>
    <w:rsid w:val="00E41C0B"/>
    <w:rsid w:val="00E4620F"/>
    <w:rsid w:val="00E67B3F"/>
    <w:rsid w:val="00E74E3F"/>
    <w:rsid w:val="00EB7E70"/>
    <w:rsid w:val="00EE192F"/>
    <w:rsid w:val="00F2000E"/>
    <w:rsid w:val="00F20BF0"/>
    <w:rsid w:val="00F21170"/>
    <w:rsid w:val="00F22066"/>
    <w:rsid w:val="00FB6C43"/>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unhideWhenUsed/>
    <w:rsid w:val="00B15C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37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73</cp:revision>
  <cp:lastPrinted>2026-02-27T13:23:00Z</cp:lastPrinted>
  <dcterms:created xsi:type="dcterms:W3CDTF">2026-03-06T22:14:00Z</dcterms:created>
  <dcterms:modified xsi:type="dcterms:W3CDTF">2026-03-13T13:08:00Z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